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ind w:firstLine="630"/>
        <w:rPr>
          <w:rFonts w:hint="eastAsia" w:ascii="黑体" w:hAnsi="黑体" w:eastAsia="黑体" w:cs="黑体"/>
          <w:szCs w:val="32"/>
          <w:lang w:val="en-US" w:eastAsia="zh-CN"/>
        </w:rPr>
      </w:pPr>
      <w:r>
        <w:rPr>
          <w:rFonts w:hint="eastAsia" w:ascii="黑体" w:hAnsi="黑体" w:eastAsia="黑体" w:cs="黑体"/>
          <w:szCs w:val="32"/>
          <w:lang w:val="en-US" w:eastAsia="zh-CN"/>
        </w:rPr>
        <w:t>附件1</w:t>
      </w:r>
    </w:p>
    <w:p>
      <w:pPr>
        <w:spacing w:line="579" w:lineRule="exact"/>
        <w:ind w:firstLine="640" w:firstLineChars="200"/>
        <w:rPr>
          <w:rFonts w:eastAsia="黑体"/>
          <w:szCs w:val="32"/>
        </w:rPr>
      </w:pPr>
      <w:r>
        <w:rPr>
          <w:rFonts w:hint="eastAsia" w:hAnsi="黑体" w:eastAsia="黑体"/>
          <w:szCs w:val="32"/>
          <w:lang w:eastAsia="zh-CN"/>
        </w:rPr>
        <w:t>一</w:t>
      </w:r>
      <w:r>
        <w:rPr>
          <w:rFonts w:hAnsi="黑体" w:eastAsia="黑体"/>
          <w:szCs w:val="32"/>
        </w:rPr>
        <w:t>、采购预算</w:t>
      </w:r>
    </w:p>
    <w:p>
      <w:pPr>
        <w:spacing w:line="579" w:lineRule="exact"/>
        <w:ind w:firstLine="640" w:firstLineChars="200"/>
        <w:rPr>
          <w:rFonts w:ascii="仿宋_GB2312" w:hAnsi="仿宋"/>
          <w:szCs w:val="32"/>
        </w:rPr>
      </w:pPr>
      <w:r>
        <w:rPr>
          <w:rFonts w:hint="eastAsia" w:ascii="仿宋_GB2312" w:hAnsi="仿宋"/>
          <w:color w:val="000000"/>
          <w:szCs w:val="32"/>
        </w:rPr>
        <w:t>项目建设预算</w:t>
      </w:r>
      <w:r>
        <w:rPr>
          <w:rFonts w:ascii="仿宋_GB2312" w:hAnsi="仿宋"/>
          <w:color w:val="000000"/>
          <w:szCs w:val="32"/>
        </w:rPr>
        <w:t>180</w:t>
      </w:r>
      <w:r>
        <w:rPr>
          <w:rFonts w:hint="eastAsia" w:ascii="仿宋_GB2312" w:hAnsi="仿宋"/>
          <w:color w:val="000000"/>
          <w:szCs w:val="32"/>
        </w:rPr>
        <w:t>万元。</w:t>
      </w:r>
      <w:r>
        <w:rPr>
          <w:rFonts w:hint="eastAsia" w:ascii="仿宋_GB2312" w:hAnsi="仿宋"/>
          <w:szCs w:val="32"/>
        </w:rPr>
        <w:t>2024年度已列预算</w:t>
      </w:r>
      <w:r>
        <w:rPr>
          <w:rFonts w:ascii="仿宋_GB2312" w:hAnsi="仿宋"/>
          <w:szCs w:val="32"/>
        </w:rPr>
        <w:t>54</w:t>
      </w:r>
      <w:r>
        <w:rPr>
          <w:rFonts w:hint="eastAsia" w:ascii="仿宋_GB2312" w:hAnsi="仿宋"/>
          <w:szCs w:val="32"/>
        </w:rPr>
        <w:t>万元，</w:t>
      </w:r>
      <w:r>
        <w:rPr>
          <w:rFonts w:hint="eastAsia" w:ascii="仿宋_GB2312" w:hAnsi="仿宋"/>
          <w:color w:val="000000"/>
          <w:szCs w:val="32"/>
        </w:rPr>
        <w:t>剩余预算从下一年度预算中支出。</w:t>
      </w:r>
    </w:p>
    <w:p>
      <w:pPr>
        <w:spacing w:line="579" w:lineRule="exact"/>
        <w:ind w:firstLine="640" w:firstLineChars="200"/>
        <w:rPr>
          <w:rFonts w:eastAsia="黑体"/>
          <w:szCs w:val="32"/>
        </w:rPr>
      </w:pPr>
      <w:r>
        <w:rPr>
          <w:rFonts w:hint="eastAsia" w:hAnsi="黑体" w:eastAsia="黑体"/>
          <w:szCs w:val="32"/>
          <w:lang w:eastAsia="zh-CN"/>
        </w:rPr>
        <w:t>二</w:t>
      </w:r>
      <w:r>
        <w:rPr>
          <w:rFonts w:hAnsi="黑体" w:eastAsia="黑体"/>
          <w:szCs w:val="32"/>
        </w:rPr>
        <w:t>、货款及运杂费结算方式</w:t>
      </w:r>
    </w:p>
    <w:p>
      <w:pPr>
        <w:spacing w:line="580" w:lineRule="exact"/>
        <w:ind w:firstLine="640" w:firstLineChars="200"/>
        <w:rPr>
          <w:rFonts w:ascii="仿宋_GB2312" w:hAnsi="仿宋"/>
          <w:szCs w:val="32"/>
        </w:rPr>
      </w:pPr>
      <w:r>
        <w:rPr>
          <w:rFonts w:hint="eastAsia" w:ascii="仿宋_GB2312" w:hAnsi="仿宋"/>
          <w:szCs w:val="32"/>
        </w:rPr>
        <w:t>(一)货款结算</w:t>
      </w:r>
    </w:p>
    <w:p>
      <w:pPr>
        <w:spacing w:line="579" w:lineRule="exact"/>
        <w:ind w:firstLine="640" w:firstLineChars="200"/>
        <w:rPr>
          <w:rFonts w:ascii="仿宋_GB2312" w:hAnsi="仿宋"/>
          <w:szCs w:val="32"/>
        </w:rPr>
      </w:pPr>
      <w:r>
        <w:rPr>
          <w:rFonts w:hint="eastAsia" w:ascii="仿宋_GB2312" w:hAnsi="仿宋"/>
          <w:color w:val="000000"/>
          <w:szCs w:val="32"/>
        </w:rPr>
        <w:t>中标方中标价即为合同价，合同价包含货款、利润、税金、装卸载费、运杂费、安装费、人员培训费、售后服务费及相应的不可预测风险等一切费用。</w:t>
      </w:r>
      <w:r>
        <w:rPr>
          <w:rFonts w:hint="eastAsia" w:ascii="仿宋_GB2312" w:hAnsi="仿宋"/>
          <w:szCs w:val="32"/>
        </w:rPr>
        <w:t>本项目不付预付款，待所有硬件设备到货验收合格后支付合同金额的</w:t>
      </w:r>
      <w:r>
        <w:rPr>
          <w:rFonts w:ascii="仿宋_GB2312" w:hAnsi="仿宋"/>
          <w:szCs w:val="32"/>
        </w:rPr>
        <w:t>30</w:t>
      </w:r>
      <w:r>
        <w:rPr>
          <w:rFonts w:hint="eastAsia" w:ascii="仿宋_GB2312" w:hAnsi="仿宋"/>
          <w:szCs w:val="32"/>
        </w:rPr>
        <w:t>%，待软、硬件设备安装调试完成，验收合格后再支付合同金额的</w:t>
      </w:r>
      <w:r>
        <w:rPr>
          <w:rFonts w:ascii="仿宋_GB2312" w:hAnsi="仿宋"/>
          <w:szCs w:val="32"/>
        </w:rPr>
        <w:t>6</w:t>
      </w:r>
      <w:r>
        <w:rPr>
          <w:rFonts w:hint="eastAsia" w:ascii="仿宋_GB2312" w:hAnsi="仿宋"/>
          <w:szCs w:val="32"/>
        </w:rPr>
        <w:t>5%，剩余5%作为质量保证金，待质保期满后一次性无息退还。</w:t>
      </w:r>
    </w:p>
    <w:p>
      <w:pPr>
        <w:spacing w:line="579" w:lineRule="exact"/>
        <w:ind w:firstLine="640" w:firstLineChars="200"/>
        <w:rPr>
          <w:rFonts w:ascii="仿宋_GB2312" w:hAnsi="仿宋"/>
          <w:color w:val="000000"/>
          <w:szCs w:val="32"/>
        </w:rPr>
      </w:pPr>
      <w:r>
        <w:rPr>
          <w:rFonts w:hint="eastAsia" w:ascii="仿宋_GB2312" w:hAnsi="仿宋"/>
          <w:color w:val="000000"/>
          <w:szCs w:val="32"/>
        </w:rPr>
        <w:t>若后期军队审计部门、军队采购管理部门、纪检监察部门等职能部门抽查，提出价格虚高等问题，乙方需无条件配合甲方进行调查，积极提供相关审价资料，若最终审价结果低于合同价，乙方需无条件退还虚高款项。如最终审价结果高于合同价，按合同价进行结算。</w:t>
      </w:r>
    </w:p>
    <w:p>
      <w:pPr>
        <w:spacing w:line="580" w:lineRule="exact"/>
        <w:ind w:firstLine="640" w:firstLineChars="200"/>
        <w:rPr>
          <w:rFonts w:ascii="仿宋_GB2312" w:hAnsi="仿宋"/>
          <w:szCs w:val="32"/>
        </w:rPr>
      </w:pPr>
      <w:r>
        <w:rPr>
          <w:rFonts w:hint="eastAsia" w:ascii="仿宋_GB2312" w:hAnsi="仿宋"/>
          <w:szCs w:val="32"/>
        </w:rPr>
        <w:t>（二）履约保证金和质量保证金</w:t>
      </w:r>
    </w:p>
    <w:p>
      <w:pPr>
        <w:spacing w:line="580" w:lineRule="exact"/>
        <w:ind w:firstLine="640" w:firstLineChars="200"/>
        <w:rPr>
          <w:rFonts w:ascii="仿宋_GB2312" w:hAnsi="仿宋"/>
          <w:szCs w:val="32"/>
        </w:rPr>
      </w:pPr>
      <w:r>
        <w:rPr>
          <w:rFonts w:hint="eastAsia" w:ascii="仿宋_GB2312" w:hAnsi="仿宋"/>
          <w:szCs w:val="32"/>
        </w:rPr>
        <w:t>中标供应商签订采购合同前，应按合同金额的</w:t>
      </w:r>
      <w:r>
        <w:rPr>
          <w:rFonts w:ascii="仿宋_GB2312" w:hAnsi="仿宋"/>
          <w:szCs w:val="32"/>
        </w:rPr>
        <w:t>5</w:t>
      </w:r>
      <w:r>
        <w:rPr>
          <w:rFonts w:hint="eastAsia" w:ascii="仿宋_GB2312" w:hAnsi="仿宋"/>
          <w:szCs w:val="32"/>
        </w:rPr>
        <w:t>%向采购单位提交履约保证金，交付验收合格后，采购单位应退回履约保证金，也可根据项目实际情况转为质量保证金，质量保证金一般在质保期满且无质量问题时全额无息退还。</w:t>
      </w:r>
    </w:p>
    <w:p>
      <w:pPr>
        <w:spacing w:line="579" w:lineRule="exact"/>
        <w:ind w:firstLine="640" w:firstLineChars="200"/>
        <w:rPr>
          <w:rFonts w:hAnsi="黑体" w:eastAsia="黑体"/>
          <w:szCs w:val="32"/>
        </w:rPr>
      </w:pPr>
      <w:r>
        <w:rPr>
          <w:rFonts w:hint="eastAsia" w:hAnsi="黑体" w:eastAsia="黑体"/>
          <w:szCs w:val="32"/>
          <w:lang w:eastAsia="zh-CN"/>
        </w:rPr>
        <w:t>三</w:t>
      </w:r>
      <w:r>
        <w:rPr>
          <w:rFonts w:hAnsi="黑体" w:eastAsia="黑体"/>
          <w:szCs w:val="32"/>
        </w:rPr>
        <w:t>、</w:t>
      </w:r>
      <w:r>
        <w:rPr>
          <w:rFonts w:hint="eastAsia" w:hAnsi="黑体" w:eastAsia="黑体"/>
          <w:szCs w:val="32"/>
        </w:rPr>
        <w:t>交货期限</w:t>
      </w:r>
      <w:r>
        <w:rPr>
          <w:rFonts w:hAnsi="黑体" w:eastAsia="黑体"/>
          <w:szCs w:val="32"/>
        </w:rPr>
        <w:t>及交货地点</w:t>
      </w:r>
    </w:p>
    <w:p>
      <w:pPr>
        <w:spacing w:line="579" w:lineRule="exact"/>
        <w:ind w:firstLine="640" w:firstLineChars="200"/>
        <w:rPr>
          <w:rFonts w:ascii="仿宋_GB2312" w:hAnsi="仿宋"/>
          <w:color w:val="000000"/>
          <w:szCs w:val="32"/>
        </w:rPr>
      </w:pPr>
      <w:r>
        <w:rPr>
          <w:rFonts w:hint="eastAsia" w:ascii="仿宋_GB2312" w:hAnsi="仿宋"/>
          <w:color w:val="000000"/>
          <w:szCs w:val="32"/>
        </w:rPr>
        <w:t>交货</w:t>
      </w:r>
      <w:r>
        <w:rPr>
          <w:rFonts w:ascii="仿宋_GB2312" w:hAnsi="仿宋"/>
          <w:color w:val="000000"/>
          <w:szCs w:val="32"/>
        </w:rPr>
        <w:t>期限：</w:t>
      </w:r>
      <w:r>
        <w:rPr>
          <w:rFonts w:hint="eastAsia" w:ascii="仿宋_GB2312" w:hAnsi="仿宋"/>
          <w:color w:val="000000"/>
          <w:szCs w:val="32"/>
        </w:rPr>
        <w:t>合同签订后</w:t>
      </w:r>
      <w:r>
        <w:rPr>
          <w:rFonts w:ascii="仿宋_GB2312" w:hAnsi="仿宋"/>
          <w:color w:val="000000"/>
          <w:szCs w:val="32"/>
        </w:rPr>
        <w:t>90</w:t>
      </w:r>
      <w:r>
        <w:rPr>
          <w:rFonts w:hint="eastAsia" w:ascii="仿宋_GB2312" w:hAnsi="仿宋"/>
          <w:color w:val="000000"/>
          <w:szCs w:val="32"/>
        </w:rPr>
        <w:t>个工作日内。</w:t>
      </w:r>
    </w:p>
    <w:p>
      <w:pPr>
        <w:spacing w:line="579" w:lineRule="exact"/>
        <w:ind w:firstLine="640" w:firstLineChars="200"/>
        <w:rPr>
          <w:rFonts w:ascii="仿宋_GB2312" w:hAnsi="仿宋"/>
          <w:color w:val="000000"/>
          <w:szCs w:val="32"/>
        </w:rPr>
      </w:pPr>
      <w:r>
        <w:rPr>
          <w:rFonts w:ascii="仿宋_GB2312" w:hAnsi="仿宋"/>
          <w:color w:val="000000"/>
          <w:szCs w:val="32"/>
        </w:rPr>
        <w:t>交货地点：</w:t>
      </w:r>
      <w:r>
        <w:rPr>
          <w:rFonts w:hint="eastAsia" w:ascii="仿宋_GB2312" w:hAnsi="仿宋"/>
          <w:color w:val="000000"/>
          <w:szCs w:val="32"/>
        </w:rPr>
        <w:t>甘肃省兰州市。</w:t>
      </w:r>
    </w:p>
    <w:p>
      <w:pPr>
        <w:spacing w:line="579" w:lineRule="exact"/>
        <w:ind w:firstLine="640" w:firstLineChars="200"/>
        <w:rPr>
          <w:rFonts w:hAnsi="黑体" w:eastAsia="黑体"/>
          <w:szCs w:val="32"/>
        </w:rPr>
      </w:pPr>
      <w:r>
        <w:rPr>
          <w:rFonts w:hint="eastAsia" w:hAnsi="黑体" w:eastAsia="黑体"/>
          <w:szCs w:val="32"/>
          <w:lang w:eastAsia="zh-CN"/>
        </w:rPr>
        <w:t>四</w:t>
      </w:r>
      <w:r>
        <w:rPr>
          <w:rFonts w:hint="eastAsia" w:hAnsi="黑体" w:eastAsia="黑体"/>
          <w:szCs w:val="32"/>
        </w:rPr>
        <w:t>、质保期及售后服务</w:t>
      </w:r>
    </w:p>
    <w:p>
      <w:pPr>
        <w:spacing w:line="579" w:lineRule="exact"/>
        <w:ind w:firstLine="640" w:firstLineChars="200"/>
        <w:rPr>
          <w:rFonts w:ascii="仿宋_GB2312" w:hAnsi="仿宋"/>
          <w:color w:val="000000"/>
          <w:szCs w:val="32"/>
        </w:rPr>
      </w:pPr>
      <w:r>
        <w:rPr>
          <w:rFonts w:hint="eastAsia" w:ascii="仿宋_GB2312" w:hAnsi="仿宋"/>
          <w:color w:val="000000"/>
          <w:szCs w:val="32"/>
        </w:rPr>
        <w:t>1.质保期及售后服务时间：自验收之日起3年，所涉及软硬件均需提供3年原厂质保服务，含7*24小时标准服务。</w:t>
      </w:r>
    </w:p>
    <w:p>
      <w:pPr>
        <w:spacing w:line="579" w:lineRule="exact"/>
        <w:ind w:firstLine="640" w:firstLineChars="200"/>
        <w:rPr>
          <w:rFonts w:ascii="仿宋_GB2312" w:hAnsi="仿宋"/>
          <w:color w:val="000000"/>
          <w:szCs w:val="32"/>
        </w:rPr>
      </w:pPr>
      <w:r>
        <w:rPr>
          <w:rFonts w:hint="eastAsia" w:ascii="仿宋_GB2312" w:hAnsi="仿宋"/>
          <w:color w:val="000000"/>
          <w:szCs w:val="32"/>
        </w:rPr>
        <w:t>2. 乙方或产品制造商在中标后应具备长期稳定的本地服务机构并提供承诺函。质保期内应保证7</w:t>
      </w:r>
      <w:r>
        <w:rPr>
          <w:rFonts w:ascii="仿宋_GB2312" w:hAnsi="仿宋"/>
          <w:color w:val="000000"/>
          <w:szCs w:val="32"/>
        </w:rPr>
        <w:t>*</w:t>
      </w:r>
      <w:r>
        <w:rPr>
          <w:rFonts w:hint="eastAsia" w:ascii="仿宋_GB2312" w:hAnsi="仿宋"/>
          <w:color w:val="000000"/>
          <w:szCs w:val="32"/>
        </w:rPr>
        <w:t>24小时故障响应，本地售后服务工程师须在2小时内到达现场，查找原因，提出解决方案，直至故障完全修复、系统恢复正常服务为止；若设备无法在48小时内修复完成，需提供另一台相同型号设备暂用。如果因为维修时间过长，对医院医疗工作造成重大影响或经济损失的，乙方必须承担相应的法律责任和经济赔偿。</w:t>
      </w:r>
    </w:p>
    <w:p>
      <w:pPr>
        <w:spacing w:line="579" w:lineRule="exact"/>
        <w:ind w:firstLine="640" w:firstLineChars="200"/>
        <w:rPr>
          <w:rFonts w:ascii="仿宋_GB2312" w:hAnsi="仿宋"/>
          <w:color w:val="000000"/>
          <w:szCs w:val="32"/>
        </w:rPr>
      </w:pPr>
      <w:r>
        <w:rPr>
          <w:rFonts w:hint="eastAsia" w:ascii="仿宋_GB2312" w:hAnsi="仿宋"/>
          <w:color w:val="000000"/>
          <w:szCs w:val="32"/>
        </w:rPr>
        <w:t>3</w:t>
      </w:r>
      <w:r>
        <w:rPr>
          <w:rFonts w:ascii="仿宋_GB2312" w:hAnsi="仿宋"/>
          <w:color w:val="000000"/>
          <w:szCs w:val="32"/>
        </w:rPr>
        <w:t>、乙方</w:t>
      </w:r>
      <w:r>
        <w:rPr>
          <w:rFonts w:hint="eastAsia" w:ascii="仿宋_GB2312" w:hAnsi="仿宋"/>
          <w:color w:val="000000"/>
          <w:szCs w:val="32"/>
        </w:rPr>
        <w:t>须</w:t>
      </w:r>
      <w:r>
        <w:rPr>
          <w:rFonts w:ascii="仿宋_GB2312" w:hAnsi="仿宋"/>
          <w:color w:val="000000"/>
          <w:szCs w:val="32"/>
        </w:rPr>
        <w:t>承诺免费安装实施，实施前须制订详细的进度表及针对相关科室使用人员和系统管理员的详细的培训计划。培训内容以技术验收文档形式移交给医院。</w:t>
      </w:r>
      <w:r>
        <w:rPr>
          <w:rFonts w:hint="eastAsia" w:ascii="仿宋_GB2312" w:hAnsi="仿宋"/>
          <w:color w:val="000000"/>
          <w:szCs w:val="32"/>
        </w:rPr>
        <w:t>要求原厂工程师进行项目实施，并提供相关证明材料.</w:t>
      </w:r>
    </w:p>
    <w:p>
      <w:pPr>
        <w:spacing w:line="579" w:lineRule="exact"/>
        <w:ind w:firstLine="640" w:firstLineChars="200"/>
        <w:rPr>
          <w:rFonts w:ascii="仿宋_GB2312" w:hAnsi="仿宋"/>
          <w:color w:val="000000"/>
          <w:szCs w:val="32"/>
        </w:rPr>
      </w:pPr>
      <w:r>
        <w:rPr>
          <w:rFonts w:hint="eastAsia" w:ascii="仿宋_GB2312" w:hAnsi="仿宋"/>
          <w:color w:val="000000"/>
          <w:szCs w:val="32"/>
        </w:rPr>
        <w:t>4</w:t>
      </w:r>
      <w:r>
        <w:rPr>
          <w:rFonts w:ascii="仿宋_GB2312" w:hAnsi="仿宋"/>
          <w:color w:val="000000"/>
          <w:szCs w:val="32"/>
        </w:rPr>
        <w:t>、乙方</w:t>
      </w:r>
      <w:r>
        <w:rPr>
          <w:rFonts w:hint="eastAsia" w:ascii="仿宋_GB2312" w:hAnsi="仿宋"/>
          <w:color w:val="000000"/>
          <w:szCs w:val="32"/>
        </w:rPr>
        <w:t>须</w:t>
      </w:r>
      <w:r>
        <w:rPr>
          <w:rFonts w:ascii="仿宋_GB2312" w:hAnsi="仿宋"/>
          <w:color w:val="000000"/>
          <w:szCs w:val="32"/>
        </w:rPr>
        <w:t>为甲方提供</w:t>
      </w:r>
      <w:r>
        <w:rPr>
          <w:rFonts w:hint="eastAsia" w:ascii="仿宋_GB2312" w:hAnsi="仿宋"/>
          <w:color w:val="000000"/>
          <w:szCs w:val="32"/>
        </w:rPr>
        <w:t>不少于</w:t>
      </w:r>
      <w:r>
        <w:rPr>
          <w:rFonts w:ascii="仿宋_GB2312" w:hAnsi="仿宋"/>
          <w:color w:val="000000"/>
          <w:szCs w:val="32"/>
        </w:rPr>
        <w:t>3次技术和人员培训，通过系统的培训，使甲方获得工作需要的专业技术知识和经验，从而保障整个系统的顺利运行。</w:t>
      </w:r>
    </w:p>
    <w:p>
      <w:pPr>
        <w:spacing w:line="579" w:lineRule="exact"/>
        <w:ind w:firstLine="640" w:firstLineChars="200"/>
        <w:rPr>
          <w:rFonts w:ascii="仿宋_GB2312" w:hAnsi="仿宋"/>
          <w:color w:val="000000"/>
          <w:szCs w:val="32"/>
        </w:rPr>
      </w:pPr>
      <w:r>
        <w:rPr>
          <w:rFonts w:hint="eastAsia" w:ascii="仿宋_GB2312" w:hAnsi="仿宋"/>
          <w:color w:val="000000"/>
          <w:szCs w:val="32"/>
        </w:rPr>
        <w:t>5.质保期内，乙方须提供系统运行的服务报告。包括重大故障维修报告、每月故障总结报告、每季度的设备和系统巡检报告等相关报告。</w:t>
      </w:r>
    </w:p>
    <w:p>
      <w:pPr>
        <w:spacing w:line="579" w:lineRule="exact"/>
        <w:ind w:firstLine="640" w:firstLineChars="200"/>
        <w:rPr>
          <w:rFonts w:ascii="仿宋_GB2312" w:hAnsi="仿宋"/>
          <w:color w:val="000000"/>
          <w:szCs w:val="32"/>
        </w:rPr>
      </w:pPr>
      <w:r>
        <w:rPr>
          <w:rFonts w:hint="eastAsia" w:ascii="仿宋_GB2312" w:hAnsi="仿宋"/>
          <w:color w:val="000000"/>
          <w:szCs w:val="32"/>
        </w:rPr>
        <w:t>6.在质保期内，乙方提供的货物因产品质量而导致的缺陷，必须免费提供维修、更换等服务，并依据甲方需求免费进行客户化开发。</w:t>
      </w:r>
    </w:p>
    <w:p>
      <w:pPr>
        <w:spacing w:line="579" w:lineRule="exact"/>
        <w:ind w:firstLine="640" w:firstLineChars="200"/>
        <w:rPr>
          <w:rFonts w:ascii="仿宋_GB2312" w:hAnsi="仿宋"/>
          <w:color w:val="000000"/>
          <w:szCs w:val="32"/>
        </w:rPr>
      </w:pPr>
      <w:r>
        <w:rPr>
          <w:rFonts w:ascii="仿宋_GB2312" w:hAnsi="仿宋"/>
          <w:color w:val="000000"/>
          <w:szCs w:val="32"/>
        </w:rPr>
        <w:t>7</w:t>
      </w:r>
      <w:r>
        <w:rPr>
          <w:rFonts w:hint="eastAsia" w:ascii="仿宋_GB2312" w:hAnsi="仿宋"/>
          <w:color w:val="000000"/>
          <w:szCs w:val="32"/>
        </w:rPr>
        <w:t>.乙方为所供系统终生无偿提供技术培训和技术支持。</w:t>
      </w:r>
    </w:p>
    <w:p>
      <w:pPr>
        <w:spacing w:line="580" w:lineRule="exact"/>
        <w:ind w:firstLine="640" w:firstLineChars="200"/>
        <w:rPr>
          <w:rFonts w:ascii="黑体" w:hAnsi="黑体" w:eastAsia="黑体"/>
          <w:szCs w:val="32"/>
        </w:rPr>
      </w:pPr>
      <w:r>
        <w:rPr>
          <w:rFonts w:hint="eastAsia" w:ascii="黑体" w:hAnsi="黑体" w:eastAsia="黑体"/>
          <w:szCs w:val="32"/>
          <w:lang w:eastAsia="zh-CN"/>
        </w:rPr>
        <w:t>五</w:t>
      </w:r>
      <w:r>
        <w:rPr>
          <w:rFonts w:hint="eastAsia" w:ascii="黑体" w:hAnsi="黑体" w:eastAsia="黑体"/>
          <w:szCs w:val="32"/>
        </w:rPr>
        <w:t>、项目技术参数及要求</w:t>
      </w:r>
    </w:p>
    <w:p>
      <w:pPr>
        <w:spacing w:after="240" w:afterLines="100" w:line="580" w:lineRule="exact"/>
        <w:ind w:firstLine="640" w:firstLineChars="200"/>
        <w:rPr>
          <w:rFonts w:ascii="黑体" w:hAnsi="黑体" w:eastAsia="黑体"/>
          <w:szCs w:val="32"/>
        </w:rPr>
      </w:pPr>
      <w:r>
        <w:rPr>
          <w:rFonts w:hint="eastAsia" w:ascii="黑体" w:hAnsi="黑体" w:eastAsia="黑体"/>
          <w:szCs w:val="32"/>
        </w:rPr>
        <w:t>(一)设备参数一览表</w:t>
      </w:r>
      <w:bookmarkStart w:id="0" w:name="_Toc168476478"/>
    </w:p>
    <w:tbl>
      <w:tblPr>
        <w:tblStyle w:val="20"/>
        <w:tblW w:w="4998" w:type="pct"/>
        <w:tblInd w:w="0" w:type="dxa"/>
        <w:tblLayout w:type="autofit"/>
        <w:tblCellMar>
          <w:top w:w="0" w:type="dxa"/>
          <w:left w:w="108" w:type="dxa"/>
          <w:bottom w:w="0" w:type="dxa"/>
          <w:right w:w="108" w:type="dxa"/>
        </w:tblCellMar>
      </w:tblPr>
      <w:tblGrid>
        <w:gridCol w:w="739"/>
        <w:gridCol w:w="1250"/>
        <w:gridCol w:w="5585"/>
        <w:gridCol w:w="741"/>
        <w:gridCol w:w="741"/>
      </w:tblGrid>
      <w:tr>
        <w:tblPrEx>
          <w:tblCellMar>
            <w:top w:w="0" w:type="dxa"/>
            <w:left w:w="108" w:type="dxa"/>
            <w:bottom w:w="0" w:type="dxa"/>
            <w:right w:w="108" w:type="dxa"/>
          </w:tblCellMar>
        </w:tblPrEx>
        <w:trPr>
          <w:trHeight w:val="285" w:hRule="atLeast"/>
        </w:trPr>
        <w:tc>
          <w:tcPr>
            <w:tcW w:w="40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b/>
                <w:bCs/>
                <w:color w:val="000000"/>
                <w:kern w:val="0"/>
                <w:sz w:val="24"/>
              </w:rPr>
            </w:pPr>
            <w:r>
              <w:rPr>
                <w:rFonts w:hint="eastAsia" w:ascii="等线" w:hAnsi="宋体" w:eastAsia="等线" w:cs="宋体"/>
                <w:b/>
                <w:bCs/>
                <w:color w:val="000000"/>
                <w:kern w:val="0"/>
                <w:sz w:val="24"/>
              </w:rPr>
              <w:t>序号</w:t>
            </w:r>
          </w:p>
        </w:tc>
        <w:tc>
          <w:tcPr>
            <w:tcW w:w="690"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b/>
                <w:bCs/>
                <w:color w:val="000000"/>
                <w:kern w:val="0"/>
                <w:sz w:val="24"/>
              </w:rPr>
            </w:pPr>
            <w:r>
              <w:rPr>
                <w:rFonts w:hint="eastAsia" w:ascii="等线" w:hAnsi="宋体" w:eastAsia="等线" w:cs="宋体"/>
                <w:b/>
                <w:bCs/>
                <w:color w:val="000000"/>
                <w:kern w:val="0"/>
                <w:sz w:val="24"/>
              </w:rPr>
              <w:t>设备名称</w:t>
            </w:r>
          </w:p>
        </w:tc>
        <w:tc>
          <w:tcPr>
            <w:tcW w:w="3083"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b/>
                <w:bCs/>
                <w:kern w:val="0"/>
                <w:sz w:val="24"/>
              </w:rPr>
            </w:pPr>
            <w:r>
              <w:rPr>
                <w:rFonts w:hint="eastAsia" w:ascii="等线" w:hAnsi="宋体" w:eastAsia="等线" w:cs="宋体"/>
                <w:b/>
                <w:bCs/>
                <w:kern w:val="0"/>
                <w:sz w:val="24"/>
              </w:rPr>
              <w:t>参数</w:t>
            </w:r>
          </w:p>
        </w:tc>
        <w:tc>
          <w:tcPr>
            <w:tcW w:w="40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b/>
                <w:bCs/>
                <w:color w:val="000000"/>
                <w:kern w:val="0"/>
                <w:sz w:val="24"/>
              </w:rPr>
            </w:pPr>
            <w:r>
              <w:rPr>
                <w:rFonts w:hint="eastAsia" w:ascii="等线" w:hAnsi="宋体" w:eastAsia="等线" w:cs="宋体"/>
                <w:b/>
                <w:bCs/>
                <w:color w:val="000000"/>
                <w:kern w:val="0"/>
                <w:sz w:val="24"/>
              </w:rPr>
              <w:t>数量</w:t>
            </w:r>
          </w:p>
        </w:tc>
        <w:tc>
          <w:tcPr>
            <w:tcW w:w="409"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b/>
                <w:bCs/>
                <w:color w:val="000000"/>
                <w:kern w:val="0"/>
                <w:sz w:val="24"/>
              </w:rPr>
            </w:pPr>
            <w:r>
              <w:rPr>
                <w:rFonts w:hint="eastAsia" w:ascii="等线" w:hAnsi="宋体" w:eastAsia="等线" w:cs="宋体"/>
                <w:b/>
                <w:bCs/>
                <w:color w:val="000000"/>
                <w:kern w:val="0"/>
                <w:sz w:val="24"/>
              </w:rPr>
              <w:t>单位</w:t>
            </w:r>
          </w:p>
        </w:tc>
      </w:tr>
      <w:tr>
        <w:tblPrEx>
          <w:tblCellMar>
            <w:top w:w="0" w:type="dxa"/>
            <w:left w:w="108" w:type="dxa"/>
            <w:bottom w:w="0" w:type="dxa"/>
            <w:right w:w="108" w:type="dxa"/>
          </w:tblCellMar>
        </w:tblPrEx>
        <w:trPr>
          <w:trHeight w:val="600" w:hRule="atLeast"/>
        </w:trPr>
        <w:tc>
          <w:tcPr>
            <w:tcW w:w="408" w:type="pct"/>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等线" w:hAnsi="宋体" w:eastAsia="等线" w:cs="宋体"/>
                <w:b/>
                <w:bCs/>
                <w:color w:val="000000"/>
                <w:kern w:val="0"/>
                <w:sz w:val="24"/>
              </w:rPr>
            </w:pPr>
            <w:r>
              <w:rPr>
                <w:rFonts w:hint="eastAsia" w:ascii="等线" w:hAnsi="宋体" w:eastAsia="等线" w:cs="宋体"/>
                <w:b/>
                <w:bCs/>
                <w:color w:val="000000"/>
                <w:kern w:val="0"/>
                <w:sz w:val="24"/>
              </w:rPr>
              <w:t>1</w:t>
            </w:r>
          </w:p>
        </w:tc>
        <w:tc>
          <w:tcPr>
            <w:tcW w:w="690" w:type="pct"/>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等线" w:hAnsi="宋体" w:eastAsia="等线" w:cs="宋体"/>
                <w:b/>
                <w:bCs/>
                <w:color w:val="000000"/>
                <w:kern w:val="0"/>
                <w:sz w:val="24"/>
              </w:rPr>
            </w:pPr>
            <w:r>
              <w:rPr>
                <w:rFonts w:hint="eastAsia" w:ascii="等线" w:hAnsi="宋体" w:eastAsia="等线" w:cs="宋体"/>
                <w:b/>
                <w:bCs/>
                <w:color w:val="000000"/>
                <w:kern w:val="0"/>
                <w:sz w:val="24"/>
              </w:rPr>
              <w:t>双活存储</w:t>
            </w:r>
          </w:p>
        </w:tc>
        <w:tc>
          <w:tcPr>
            <w:tcW w:w="3083" w:type="pct"/>
            <w:tcBorders>
              <w:top w:val="nil"/>
              <w:left w:val="nil"/>
              <w:bottom w:val="single" w:color="auto" w:sz="4" w:space="0"/>
              <w:right w:val="single" w:color="auto" w:sz="4" w:space="0"/>
            </w:tcBorders>
            <w:shd w:val="clear" w:color="auto" w:fill="auto"/>
            <w:vAlign w:val="center"/>
          </w:tcPr>
          <w:p>
            <w:pPr>
              <w:widowControl/>
              <w:jc w:val="left"/>
              <w:rPr>
                <w:rFonts w:ascii="等线" w:hAnsi="宋体" w:eastAsia="等线" w:cs="宋体"/>
                <w:kern w:val="0"/>
                <w:sz w:val="22"/>
              </w:rPr>
            </w:pPr>
            <w:r>
              <w:rPr>
                <w:rFonts w:hint="eastAsia" w:ascii="等线" w:hAnsi="宋体" w:eastAsia="等线" w:cs="宋体"/>
                <w:b/>
                <w:bCs/>
                <w:kern w:val="0"/>
                <w:sz w:val="22"/>
              </w:rPr>
              <w:t>品牌：</w:t>
            </w:r>
            <w:r>
              <w:rPr>
                <w:rFonts w:hint="eastAsia" w:ascii="等线" w:hAnsi="宋体" w:eastAsia="等线" w:cs="宋体"/>
                <w:kern w:val="0"/>
                <w:sz w:val="22"/>
              </w:rPr>
              <w:t>国产非OEM品牌；</w:t>
            </w:r>
          </w:p>
        </w:tc>
        <w:tc>
          <w:tcPr>
            <w:tcW w:w="409" w:type="pct"/>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等线" w:hAnsi="宋体" w:eastAsia="等线" w:cs="宋体"/>
                <w:b/>
                <w:bCs/>
                <w:color w:val="000000"/>
                <w:kern w:val="0"/>
                <w:sz w:val="24"/>
              </w:rPr>
            </w:pPr>
            <w:r>
              <w:rPr>
                <w:rFonts w:hint="eastAsia" w:ascii="等线" w:hAnsi="宋体" w:eastAsia="等线" w:cs="宋体"/>
                <w:b/>
                <w:bCs/>
                <w:color w:val="000000"/>
                <w:kern w:val="0"/>
                <w:sz w:val="24"/>
              </w:rPr>
              <w:t>2</w:t>
            </w:r>
          </w:p>
        </w:tc>
        <w:tc>
          <w:tcPr>
            <w:tcW w:w="409" w:type="pct"/>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等线" w:hAnsi="宋体" w:eastAsia="等线" w:cs="宋体"/>
                <w:b/>
                <w:bCs/>
                <w:color w:val="000000"/>
                <w:kern w:val="0"/>
                <w:sz w:val="24"/>
              </w:rPr>
            </w:pPr>
            <w:r>
              <w:rPr>
                <w:rFonts w:hint="eastAsia" w:ascii="等线" w:hAnsi="宋体" w:eastAsia="等线" w:cs="宋体"/>
                <w:b/>
                <w:bCs/>
                <w:color w:val="000000"/>
                <w:kern w:val="0"/>
                <w:sz w:val="24"/>
              </w:rPr>
              <w:t>套</w:t>
            </w:r>
          </w:p>
        </w:tc>
      </w:tr>
      <w:tr>
        <w:tblPrEx>
          <w:tblCellMar>
            <w:top w:w="0" w:type="dxa"/>
            <w:left w:w="108" w:type="dxa"/>
            <w:bottom w:w="0" w:type="dxa"/>
            <w:right w:w="108" w:type="dxa"/>
          </w:tblCellMar>
        </w:tblPrEx>
        <w:trPr>
          <w:trHeight w:val="600" w:hRule="atLeast"/>
        </w:trPr>
        <w:tc>
          <w:tcPr>
            <w:tcW w:w="408"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690"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3083" w:type="pct"/>
            <w:tcBorders>
              <w:top w:val="nil"/>
              <w:left w:val="nil"/>
              <w:bottom w:val="single" w:color="auto" w:sz="4" w:space="0"/>
              <w:right w:val="single" w:color="auto" w:sz="4" w:space="0"/>
            </w:tcBorders>
            <w:shd w:val="clear" w:color="auto" w:fill="auto"/>
            <w:vAlign w:val="center"/>
          </w:tcPr>
          <w:p>
            <w:pPr>
              <w:widowControl/>
              <w:jc w:val="left"/>
              <w:rPr>
                <w:rFonts w:ascii="等线" w:hAnsi="宋体" w:eastAsia="等线" w:cs="宋体"/>
                <w:b/>
                <w:bCs/>
                <w:kern w:val="0"/>
                <w:sz w:val="22"/>
              </w:rPr>
            </w:pPr>
            <w:r>
              <w:rPr>
                <w:rFonts w:hint="eastAsia" w:ascii="宋体" w:hAnsi="宋体" w:cs="宋体"/>
                <w:color w:val="000000"/>
                <w:sz w:val="18"/>
                <w:szCs w:val="18"/>
                <w:shd w:val="clear" w:color="auto" w:fill="FFFFFF"/>
              </w:rPr>
              <w:t>★</w:t>
            </w:r>
            <w:r>
              <w:rPr>
                <w:rFonts w:hint="eastAsia" w:ascii="等线" w:hAnsi="宋体" w:eastAsia="等线" w:cs="宋体"/>
                <w:b/>
                <w:bCs/>
                <w:kern w:val="0"/>
                <w:sz w:val="22"/>
              </w:rPr>
              <w:t>控制器要求：</w:t>
            </w:r>
            <w:r>
              <w:rPr>
                <w:rFonts w:hint="eastAsia" w:ascii="等线" w:hAnsi="宋体" w:eastAsia="等线" w:cs="宋体"/>
                <w:kern w:val="0"/>
                <w:sz w:val="22"/>
              </w:rPr>
              <w:t>本次配置≥4个控制器，4个控制器在同一机框内，每控制器≥2颗X86或ARM多核多线程处理器，控制器之间全部采用PCI-E3.0或InfiniBand或RDMA相连；</w:t>
            </w: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r>
      <w:tr>
        <w:tblPrEx>
          <w:tblCellMar>
            <w:top w:w="0" w:type="dxa"/>
            <w:left w:w="108" w:type="dxa"/>
            <w:bottom w:w="0" w:type="dxa"/>
            <w:right w:w="108" w:type="dxa"/>
          </w:tblCellMar>
        </w:tblPrEx>
        <w:trPr>
          <w:trHeight w:val="600" w:hRule="atLeast"/>
        </w:trPr>
        <w:tc>
          <w:tcPr>
            <w:tcW w:w="408"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690"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3083" w:type="pct"/>
            <w:tcBorders>
              <w:top w:val="nil"/>
              <w:left w:val="nil"/>
              <w:bottom w:val="single" w:color="auto" w:sz="4" w:space="0"/>
              <w:right w:val="single" w:color="auto" w:sz="4" w:space="0"/>
            </w:tcBorders>
            <w:shd w:val="clear" w:color="auto" w:fill="auto"/>
            <w:vAlign w:val="center"/>
          </w:tcPr>
          <w:p>
            <w:pPr>
              <w:widowControl/>
              <w:jc w:val="left"/>
              <w:rPr>
                <w:rFonts w:ascii="等线" w:hAnsi="宋体" w:eastAsia="等线" w:cs="宋体"/>
                <w:b/>
                <w:bCs/>
                <w:kern w:val="0"/>
                <w:sz w:val="22"/>
              </w:rPr>
            </w:pPr>
            <w:r>
              <w:rPr>
                <w:rFonts w:hint="eastAsia" w:ascii="宋体" w:hAnsi="宋体" w:cs="宋体"/>
                <w:color w:val="000000"/>
                <w:sz w:val="18"/>
                <w:szCs w:val="18"/>
                <w:shd w:val="clear" w:color="auto" w:fill="FFFFFF"/>
              </w:rPr>
              <w:t>★</w:t>
            </w:r>
            <w:r>
              <w:rPr>
                <w:rFonts w:hint="eastAsia" w:ascii="等线" w:hAnsi="宋体" w:eastAsia="等线" w:cs="宋体"/>
                <w:b/>
                <w:bCs/>
                <w:kern w:val="0"/>
                <w:sz w:val="22"/>
              </w:rPr>
              <w:t>架构要求：</w:t>
            </w:r>
            <w:r>
              <w:rPr>
                <w:rFonts w:hint="eastAsia" w:ascii="等线" w:hAnsi="宋体" w:eastAsia="等线" w:cs="宋体"/>
                <w:kern w:val="0"/>
                <w:sz w:val="22"/>
              </w:rPr>
              <w:t>多控制器盘控分离架构，存储控制器最大可扩展至≥32控（提供投标型号最大可扩展控制器数量存储厂商官网截图及链接）；</w:t>
            </w: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r>
      <w:tr>
        <w:tblPrEx>
          <w:tblCellMar>
            <w:top w:w="0" w:type="dxa"/>
            <w:left w:w="108" w:type="dxa"/>
            <w:bottom w:w="0" w:type="dxa"/>
            <w:right w:w="108" w:type="dxa"/>
          </w:tblCellMar>
        </w:tblPrEx>
        <w:trPr>
          <w:trHeight w:val="600" w:hRule="atLeast"/>
        </w:trPr>
        <w:tc>
          <w:tcPr>
            <w:tcW w:w="408"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690"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3083" w:type="pct"/>
            <w:tcBorders>
              <w:top w:val="nil"/>
              <w:left w:val="nil"/>
              <w:bottom w:val="single" w:color="auto" w:sz="4" w:space="0"/>
              <w:right w:val="single" w:color="auto" w:sz="4" w:space="0"/>
            </w:tcBorders>
            <w:shd w:val="clear" w:color="auto" w:fill="auto"/>
            <w:vAlign w:val="center"/>
          </w:tcPr>
          <w:p>
            <w:pPr>
              <w:widowControl/>
              <w:jc w:val="left"/>
              <w:rPr>
                <w:rFonts w:ascii="等线" w:hAnsi="宋体" w:eastAsia="等线" w:cs="宋体"/>
                <w:b/>
                <w:bCs/>
                <w:kern w:val="0"/>
                <w:sz w:val="22"/>
              </w:rPr>
            </w:pPr>
            <w:r>
              <w:rPr>
                <w:rFonts w:hint="eastAsia" w:ascii="宋体" w:hAnsi="宋体" w:cs="宋体"/>
                <w:color w:val="000000"/>
                <w:sz w:val="18"/>
                <w:szCs w:val="18"/>
                <w:shd w:val="clear" w:color="auto" w:fill="FFFFFF"/>
              </w:rPr>
              <w:t>▲</w:t>
            </w:r>
            <w:r>
              <w:rPr>
                <w:rFonts w:hint="eastAsia" w:ascii="等线" w:hAnsi="宋体" w:eastAsia="等线" w:cs="宋体"/>
                <w:b/>
                <w:bCs/>
                <w:kern w:val="0"/>
                <w:sz w:val="22"/>
              </w:rPr>
              <w:t>缓存：</w:t>
            </w:r>
            <w:r>
              <w:rPr>
                <w:rFonts w:hint="eastAsia" w:ascii="等线" w:hAnsi="宋体" w:eastAsia="等线" w:cs="宋体"/>
                <w:kern w:val="0"/>
                <w:sz w:val="22"/>
              </w:rPr>
              <w:t>配置一级缓存≥1TB，非SSD磁盘、闪存或NVMe Flash Cache，支持控制器在线升级，升级过程中前端业务运行正常，单台最大缓存支持≥4TB（提供最大缓存可扩展官网截图及链接）；</w:t>
            </w: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r>
      <w:tr>
        <w:tblPrEx>
          <w:tblCellMar>
            <w:top w:w="0" w:type="dxa"/>
            <w:left w:w="108" w:type="dxa"/>
            <w:bottom w:w="0" w:type="dxa"/>
            <w:right w:w="108" w:type="dxa"/>
          </w:tblCellMar>
        </w:tblPrEx>
        <w:trPr>
          <w:trHeight w:val="638" w:hRule="atLeast"/>
        </w:trPr>
        <w:tc>
          <w:tcPr>
            <w:tcW w:w="408"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690"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3083" w:type="pct"/>
            <w:tcBorders>
              <w:top w:val="nil"/>
              <w:left w:val="nil"/>
              <w:bottom w:val="single" w:color="auto" w:sz="4" w:space="0"/>
              <w:right w:val="single" w:color="auto" w:sz="4" w:space="0"/>
            </w:tcBorders>
            <w:shd w:val="clear" w:color="auto" w:fill="auto"/>
            <w:vAlign w:val="center"/>
          </w:tcPr>
          <w:p>
            <w:pPr>
              <w:widowControl/>
              <w:jc w:val="left"/>
              <w:rPr>
                <w:rFonts w:ascii="等线" w:hAnsi="宋体" w:eastAsia="等线" w:cs="宋体"/>
                <w:b/>
                <w:bCs/>
                <w:kern w:val="0"/>
                <w:sz w:val="22"/>
              </w:rPr>
            </w:pPr>
            <w:r>
              <w:rPr>
                <w:rFonts w:hint="eastAsia" w:ascii="等线" w:hAnsi="宋体" w:eastAsia="等线" w:cs="宋体"/>
                <w:b/>
                <w:bCs/>
                <w:kern w:val="0"/>
                <w:sz w:val="22"/>
              </w:rPr>
              <w:t>主机接口：</w:t>
            </w:r>
            <w:r>
              <w:rPr>
                <w:rFonts w:hint="eastAsia" w:ascii="等线" w:hAnsi="宋体" w:eastAsia="等线" w:cs="宋体"/>
                <w:kern w:val="0"/>
                <w:sz w:val="22"/>
              </w:rPr>
              <w:t>配置16Gb FC主机接口≥16个，25GE iSCSI主机接口≥16个,10GE iSCSI主机接口≥16个，为满足后续业务发展的需要，配置FC、iSCSI、NVMe over FC、NVMe over RoCE四种接入方式；</w:t>
            </w: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r>
      <w:tr>
        <w:tblPrEx>
          <w:tblCellMar>
            <w:top w:w="0" w:type="dxa"/>
            <w:left w:w="108" w:type="dxa"/>
            <w:bottom w:w="0" w:type="dxa"/>
            <w:right w:w="108" w:type="dxa"/>
          </w:tblCellMar>
        </w:tblPrEx>
        <w:trPr>
          <w:trHeight w:val="600" w:hRule="atLeast"/>
        </w:trPr>
        <w:tc>
          <w:tcPr>
            <w:tcW w:w="408"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690"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3083" w:type="pct"/>
            <w:tcBorders>
              <w:top w:val="nil"/>
              <w:left w:val="nil"/>
              <w:bottom w:val="single" w:color="auto" w:sz="4" w:space="0"/>
              <w:right w:val="single" w:color="auto" w:sz="4" w:space="0"/>
            </w:tcBorders>
            <w:shd w:val="clear" w:color="auto" w:fill="auto"/>
            <w:vAlign w:val="center"/>
          </w:tcPr>
          <w:p>
            <w:pPr>
              <w:widowControl/>
              <w:jc w:val="left"/>
              <w:rPr>
                <w:rFonts w:ascii="等线" w:hAnsi="宋体" w:eastAsia="等线" w:cs="宋体"/>
                <w:b/>
                <w:bCs/>
                <w:kern w:val="0"/>
                <w:sz w:val="22"/>
              </w:rPr>
            </w:pPr>
            <w:r>
              <w:rPr>
                <w:rFonts w:hint="eastAsia" w:ascii="等线" w:hAnsi="宋体" w:eastAsia="等线" w:cs="宋体"/>
                <w:b/>
                <w:bCs/>
                <w:kern w:val="0"/>
                <w:sz w:val="22"/>
              </w:rPr>
              <w:t>RAID特性：</w:t>
            </w:r>
            <w:r>
              <w:rPr>
                <w:rFonts w:hint="eastAsia" w:ascii="等线" w:hAnsi="宋体" w:eastAsia="等线" w:cs="宋体"/>
                <w:kern w:val="0"/>
                <w:sz w:val="22"/>
              </w:rPr>
              <w:t>支持RAID0/1/3/4/5/6/10/50/60等；支持全局、空闲、专用热备；</w:t>
            </w: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r>
      <w:tr>
        <w:tblPrEx>
          <w:tblCellMar>
            <w:top w:w="0" w:type="dxa"/>
            <w:left w:w="108" w:type="dxa"/>
            <w:bottom w:w="0" w:type="dxa"/>
            <w:right w:w="108" w:type="dxa"/>
          </w:tblCellMar>
        </w:tblPrEx>
        <w:trPr>
          <w:trHeight w:val="600" w:hRule="atLeast"/>
        </w:trPr>
        <w:tc>
          <w:tcPr>
            <w:tcW w:w="408"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690"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3083" w:type="pct"/>
            <w:tcBorders>
              <w:top w:val="nil"/>
              <w:left w:val="nil"/>
              <w:bottom w:val="single" w:color="auto" w:sz="4" w:space="0"/>
              <w:right w:val="single" w:color="auto" w:sz="4" w:space="0"/>
            </w:tcBorders>
            <w:shd w:val="clear" w:color="auto" w:fill="auto"/>
            <w:vAlign w:val="center"/>
          </w:tcPr>
          <w:p>
            <w:pPr>
              <w:widowControl/>
              <w:jc w:val="left"/>
              <w:rPr>
                <w:rFonts w:ascii="等线" w:hAnsi="宋体" w:eastAsia="等线" w:cs="宋体"/>
                <w:b/>
                <w:bCs/>
                <w:kern w:val="0"/>
                <w:sz w:val="22"/>
              </w:rPr>
            </w:pPr>
            <w:r>
              <w:rPr>
                <w:rFonts w:hint="eastAsia" w:ascii="宋体" w:hAnsi="宋体" w:cs="宋体"/>
                <w:color w:val="000000"/>
                <w:sz w:val="18"/>
                <w:szCs w:val="18"/>
                <w:shd w:val="clear" w:color="auto" w:fill="FFFFFF"/>
              </w:rPr>
              <w:t>★</w:t>
            </w:r>
            <w:r>
              <w:rPr>
                <w:rFonts w:hint="eastAsia" w:ascii="等线" w:hAnsi="宋体" w:eastAsia="等线" w:cs="宋体"/>
                <w:b/>
                <w:bCs/>
                <w:kern w:val="0"/>
                <w:sz w:val="22"/>
              </w:rPr>
              <w:t>硬盘配置：</w:t>
            </w:r>
            <w:r>
              <w:rPr>
                <w:rFonts w:hint="eastAsia" w:ascii="等线" w:hAnsi="宋体" w:eastAsia="等线" w:cs="宋体"/>
                <w:kern w:val="0"/>
                <w:sz w:val="22"/>
              </w:rPr>
              <w:t>可用容量≥100TB，≥21块7.68TB SAS SSD；</w:t>
            </w: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r>
      <w:tr>
        <w:tblPrEx>
          <w:tblCellMar>
            <w:top w:w="0" w:type="dxa"/>
            <w:left w:w="108" w:type="dxa"/>
            <w:bottom w:w="0" w:type="dxa"/>
            <w:right w:w="108" w:type="dxa"/>
          </w:tblCellMar>
        </w:tblPrEx>
        <w:trPr>
          <w:trHeight w:val="600" w:hRule="atLeast"/>
        </w:trPr>
        <w:tc>
          <w:tcPr>
            <w:tcW w:w="408"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690"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3083" w:type="pct"/>
            <w:tcBorders>
              <w:top w:val="nil"/>
              <w:left w:val="nil"/>
              <w:bottom w:val="single" w:color="auto" w:sz="4" w:space="0"/>
              <w:right w:val="single" w:color="auto" w:sz="4" w:space="0"/>
            </w:tcBorders>
            <w:shd w:val="clear" w:color="auto" w:fill="auto"/>
            <w:vAlign w:val="center"/>
          </w:tcPr>
          <w:p>
            <w:pPr>
              <w:widowControl/>
              <w:jc w:val="left"/>
              <w:rPr>
                <w:rFonts w:ascii="等线" w:hAnsi="宋体" w:eastAsia="等线" w:cs="宋体"/>
                <w:b/>
                <w:bCs/>
                <w:kern w:val="0"/>
                <w:sz w:val="22"/>
              </w:rPr>
            </w:pPr>
            <w:r>
              <w:rPr>
                <w:rFonts w:hint="eastAsia" w:ascii="等线" w:hAnsi="宋体" w:eastAsia="等线" w:cs="宋体"/>
                <w:b/>
                <w:bCs/>
                <w:kern w:val="0"/>
                <w:sz w:val="22"/>
              </w:rPr>
              <w:t>硬盘支持类型：</w:t>
            </w:r>
            <w:r>
              <w:rPr>
                <w:rFonts w:hint="eastAsia" w:ascii="等线" w:hAnsi="宋体" w:eastAsia="等线" w:cs="宋体"/>
                <w:kern w:val="0"/>
                <w:sz w:val="22"/>
              </w:rPr>
              <w:t>NVMe、SSD等，并支持不同类型混插；</w:t>
            </w: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r>
      <w:tr>
        <w:tblPrEx>
          <w:tblCellMar>
            <w:top w:w="0" w:type="dxa"/>
            <w:left w:w="108" w:type="dxa"/>
            <w:bottom w:w="0" w:type="dxa"/>
            <w:right w:w="108" w:type="dxa"/>
          </w:tblCellMar>
        </w:tblPrEx>
        <w:trPr>
          <w:trHeight w:val="600" w:hRule="atLeast"/>
        </w:trPr>
        <w:tc>
          <w:tcPr>
            <w:tcW w:w="408"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690"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3083" w:type="pct"/>
            <w:tcBorders>
              <w:top w:val="nil"/>
              <w:left w:val="nil"/>
              <w:bottom w:val="single" w:color="auto" w:sz="4" w:space="0"/>
              <w:right w:val="single" w:color="auto" w:sz="4" w:space="0"/>
            </w:tcBorders>
            <w:shd w:val="clear" w:color="auto" w:fill="auto"/>
            <w:vAlign w:val="center"/>
          </w:tcPr>
          <w:p>
            <w:pPr>
              <w:widowControl/>
              <w:jc w:val="left"/>
              <w:rPr>
                <w:rFonts w:ascii="等线" w:hAnsi="宋体" w:eastAsia="等线" w:cs="宋体"/>
                <w:b/>
                <w:bCs/>
                <w:kern w:val="0"/>
                <w:sz w:val="22"/>
              </w:rPr>
            </w:pPr>
            <w:r>
              <w:rPr>
                <w:rFonts w:hint="eastAsia" w:ascii="等线" w:hAnsi="宋体" w:eastAsia="等线" w:cs="宋体"/>
                <w:b/>
                <w:bCs/>
                <w:kern w:val="0"/>
                <w:sz w:val="22"/>
              </w:rPr>
              <w:t>双活功能：</w:t>
            </w:r>
            <w:r>
              <w:rPr>
                <w:rFonts w:hint="eastAsia" w:ascii="等线" w:hAnsi="宋体" w:eastAsia="等线" w:cs="宋体"/>
                <w:kern w:val="0"/>
                <w:sz w:val="22"/>
              </w:rPr>
              <w:t>配置双活软件功能；不需要增加阵列之外的任何硬件，不需要在主机上安装任何软件，实现双存储双活功能，双活链路支持IP和FC；任何一台存储阵列发生单控故障执行阵列内自动切换，双活状态不变，数据不丢失，业务不中断；</w:t>
            </w: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r>
      <w:tr>
        <w:tblPrEx>
          <w:tblCellMar>
            <w:top w:w="0" w:type="dxa"/>
            <w:left w:w="108" w:type="dxa"/>
            <w:bottom w:w="0" w:type="dxa"/>
            <w:right w:w="108" w:type="dxa"/>
          </w:tblCellMar>
        </w:tblPrEx>
        <w:trPr>
          <w:trHeight w:val="600" w:hRule="atLeast"/>
        </w:trPr>
        <w:tc>
          <w:tcPr>
            <w:tcW w:w="408"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690"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3083" w:type="pct"/>
            <w:tcBorders>
              <w:top w:val="nil"/>
              <w:left w:val="nil"/>
              <w:bottom w:val="single" w:color="auto" w:sz="4" w:space="0"/>
              <w:right w:val="single" w:color="auto" w:sz="4" w:space="0"/>
            </w:tcBorders>
            <w:shd w:val="clear" w:color="auto" w:fill="auto"/>
            <w:vAlign w:val="center"/>
          </w:tcPr>
          <w:p>
            <w:pPr>
              <w:widowControl/>
              <w:jc w:val="left"/>
              <w:rPr>
                <w:rFonts w:ascii="等线" w:hAnsi="宋体" w:eastAsia="等线" w:cs="宋体"/>
                <w:b/>
                <w:bCs/>
                <w:kern w:val="0"/>
                <w:sz w:val="22"/>
              </w:rPr>
            </w:pPr>
            <w:r>
              <w:rPr>
                <w:rFonts w:hint="eastAsia" w:ascii="宋体" w:hAnsi="宋体" w:cs="宋体"/>
                <w:color w:val="000000"/>
                <w:sz w:val="18"/>
                <w:szCs w:val="18"/>
                <w:shd w:val="clear" w:color="auto" w:fill="FFFFFF"/>
              </w:rPr>
              <w:t>▲</w:t>
            </w:r>
            <w:r>
              <w:rPr>
                <w:rFonts w:hint="eastAsia" w:ascii="等线" w:hAnsi="宋体" w:eastAsia="等线" w:cs="宋体"/>
                <w:b/>
                <w:bCs/>
                <w:kern w:val="0"/>
                <w:sz w:val="22"/>
              </w:rPr>
              <w:t>异构虚拟化：</w:t>
            </w:r>
            <w:r>
              <w:rPr>
                <w:rFonts w:hint="eastAsia" w:ascii="等线" w:hAnsi="宋体" w:eastAsia="等线" w:cs="宋体"/>
                <w:kern w:val="0"/>
                <w:sz w:val="22"/>
              </w:rPr>
              <w:t>配置异构存储虚拟化功能，不通过增加虚拟化网关模式，即可对其他品牌存储进行统一管理，支持异构虚拟化主流存储厂商存储产品；（提供相关证明材料并加盖鲜章）</w:t>
            </w: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r>
      <w:tr>
        <w:tblPrEx>
          <w:tblCellMar>
            <w:top w:w="0" w:type="dxa"/>
            <w:left w:w="108" w:type="dxa"/>
            <w:bottom w:w="0" w:type="dxa"/>
            <w:right w:w="108" w:type="dxa"/>
          </w:tblCellMar>
        </w:tblPrEx>
        <w:trPr>
          <w:trHeight w:val="600" w:hRule="atLeast"/>
        </w:trPr>
        <w:tc>
          <w:tcPr>
            <w:tcW w:w="408"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690"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3083" w:type="pct"/>
            <w:tcBorders>
              <w:top w:val="nil"/>
              <w:left w:val="nil"/>
              <w:bottom w:val="single" w:color="auto" w:sz="4" w:space="0"/>
              <w:right w:val="single" w:color="auto" w:sz="4" w:space="0"/>
            </w:tcBorders>
            <w:shd w:val="clear" w:color="auto" w:fill="auto"/>
            <w:vAlign w:val="center"/>
          </w:tcPr>
          <w:p>
            <w:pPr>
              <w:widowControl/>
              <w:jc w:val="left"/>
              <w:rPr>
                <w:rFonts w:ascii="等线" w:hAnsi="宋体" w:eastAsia="等线" w:cs="宋体"/>
                <w:kern w:val="0"/>
                <w:sz w:val="22"/>
              </w:rPr>
            </w:pPr>
            <w:r>
              <w:rPr>
                <w:rFonts w:hint="eastAsia" w:ascii="等线" w:hAnsi="宋体" w:eastAsia="等线" w:cs="宋体"/>
                <w:b/>
                <w:bCs/>
                <w:kern w:val="0"/>
                <w:sz w:val="22"/>
              </w:rPr>
              <w:t>虚拟化平台兼容性</w:t>
            </w:r>
            <w:r>
              <w:rPr>
                <w:rFonts w:hint="eastAsia" w:ascii="等线" w:hAnsi="宋体" w:eastAsia="等线" w:cs="宋体"/>
                <w:kern w:val="0"/>
                <w:sz w:val="22"/>
              </w:rPr>
              <w:t>：VMware、Hyper-V、OpenStack、KVM、XEN等；</w:t>
            </w: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r>
      <w:tr>
        <w:tblPrEx>
          <w:tblCellMar>
            <w:top w:w="0" w:type="dxa"/>
            <w:left w:w="108" w:type="dxa"/>
            <w:bottom w:w="0" w:type="dxa"/>
            <w:right w:w="108" w:type="dxa"/>
          </w:tblCellMar>
        </w:tblPrEx>
        <w:trPr>
          <w:trHeight w:val="460" w:hRule="atLeast"/>
        </w:trPr>
        <w:tc>
          <w:tcPr>
            <w:tcW w:w="408"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690"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3083" w:type="pct"/>
            <w:tcBorders>
              <w:top w:val="nil"/>
              <w:left w:val="nil"/>
              <w:bottom w:val="single" w:color="auto" w:sz="4" w:space="0"/>
              <w:right w:val="single" w:color="auto" w:sz="4" w:space="0"/>
            </w:tcBorders>
            <w:shd w:val="clear" w:color="auto" w:fill="auto"/>
            <w:vAlign w:val="center"/>
          </w:tcPr>
          <w:p>
            <w:pPr>
              <w:widowControl/>
              <w:jc w:val="left"/>
              <w:rPr>
                <w:rFonts w:ascii="等线" w:hAnsi="宋体" w:eastAsia="等线" w:cs="宋体"/>
                <w:b/>
                <w:bCs/>
                <w:kern w:val="0"/>
                <w:sz w:val="22"/>
              </w:rPr>
            </w:pPr>
            <w:r>
              <w:rPr>
                <w:rFonts w:hint="eastAsia" w:ascii="宋体" w:hAnsi="宋体" w:cs="宋体"/>
                <w:color w:val="000000"/>
                <w:sz w:val="18"/>
                <w:szCs w:val="18"/>
                <w:shd w:val="clear" w:color="auto" w:fill="FFFFFF"/>
              </w:rPr>
              <w:t>▲</w:t>
            </w:r>
            <w:r>
              <w:rPr>
                <w:rFonts w:hint="eastAsia" w:ascii="等线" w:hAnsi="宋体" w:eastAsia="等线" w:cs="宋体"/>
                <w:b/>
                <w:bCs/>
                <w:kern w:val="0"/>
                <w:sz w:val="22"/>
              </w:rPr>
              <w:t>管理软件：</w:t>
            </w:r>
            <w:r>
              <w:rPr>
                <w:rFonts w:hint="eastAsia" w:ascii="等线" w:hAnsi="宋体" w:eastAsia="等线" w:cs="宋体"/>
                <w:kern w:val="0"/>
                <w:sz w:val="22"/>
              </w:rPr>
              <w:t>可实现存储系统的集中化部署、管理、监控和维护；配置中文图形化管理、命令行管理软件平台，并提供数据访问及管理接口；提供SMI-S接口；具备基本存储管理，系统监控、日志及告警等功能。（提供相关证明材料并加盖鲜章）</w:t>
            </w: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r>
      <w:tr>
        <w:tblPrEx>
          <w:tblCellMar>
            <w:top w:w="0" w:type="dxa"/>
            <w:left w:w="108" w:type="dxa"/>
            <w:bottom w:w="0" w:type="dxa"/>
            <w:right w:w="108" w:type="dxa"/>
          </w:tblCellMar>
        </w:tblPrEx>
        <w:trPr>
          <w:trHeight w:val="600" w:hRule="atLeast"/>
        </w:trPr>
        <w:tc>
          <w:tcPr>
            <w:tcW w:w="408"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690"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3083" w:type="pct"/>
            <w:tcBorders>
              <w:top w:val="nil"/>
              <w:left w:val="nil"/>
              <w:bottom w:val="single" w:color="auto" w:sz="4" w:space="0"/>
              <w:right w:val="single" w:color="auto" w:sz="4" w:space="0"/>
            </w:tcBorders>
            <w:shd w:val="clear" w:color="auto" w:fill="auto"/>
            <w:vAlign w:val="center"/>
          </w:tcPr>
          <w:p>
            <w:pPr>
              <w:widowControl/>
              <w:jc w:val="left"/>
              <w:rPr>
                <w:rFonts w:ascii="等线" w:hAnsi="宋体" w:eastAsia="等线" w:cs="宋体"/>
                <w:kern w:val="0"/>
                <w:sz w:val="22"/>
              </w:rPr>
            </w:pPr>
            <w:r>
              <w:rPr>
                <w:rFonts w:hint="eastAsia" w:ascii="等线" w:hAnsi="宋体" w:eastAsia="等线" w:cs="宋体"/>
                <w:b/>
                <w:bCs/>
                <w:kern w:val="0"/>
                <w:sz w:val="22"/>
              </w:rPr>
              <w:t>无中断数据迁移：</w:t>
            </w:r>
            <w:r>
              <w:rPr>
                <w:rFonts w:hint="eastAsia" w:ascii="等线" w:hAnsi="宋体" w:eastAsia="等线" w:cs="宋体"/>
                <w:kern w:val="0"/>
                <w:sz w:val="22"/>
              </w:rPr>
              <w:t xml:space="preserve">支持无中断数据迁移功能，支持阵列内部、阵列之间（含混合阵列）以及异构设备间，跨设备的业务无中断数据迁移； </w:t>
            </w: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r>
      <w:tr>
        <w:tblPrEx>
          <w:tblCellMar>
            <w:top w:w="0" w:type="dxa"/>
            <w:left w:w="108" w:type="dxa"/>
            <w:bottom w:w="0" w:type="dxa"/>
            <w:right w:w="108" w:type="dxa"/>
          </w:tblCellMar>
        </w:tblPrEx>
        <w:trPr>
          <w:trHeight w:val="600" w:hRule="atLeast"/>
        </w:trPr>
        <w:tc>
          <w:tcPr>
            <w:tcW w:w="408"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690"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3083" w:type="pct"/>
            <w:tcBorders>
              <w:top w:val="nil"/>
              <w:left w:val="nil"/>
              <w:bottom w:val="single" w:color="auto" w:sz="4" w:space="0"/>
              <w:right w:val="single" w:color="auto" w:sz="4" w:space="0"/>
            </w:tcBorders>
            <w:shd w:val="clear" w:color="auto" w:fill="auto"/>
            <w:vAlign w:val="center"/>
          </w:tcPr>
          <w:p>
            <w:pPr>
              <w:widowControl/>
              <w:jc w:val="left"/>
              <w:rPr>
                <w:rFonts w:ascii="等线" w:hAnsi="宋体" w:eastAsia="等线" w:cs="宋体"/>
                <w:kern w:val="0"/>
                <w:sz w:val="22"/>
              </w:rPr>
            </w:pPr>
            <w:r>
              <w:rPr>
                <w:rFonts w:hint="eastAsia" w:ascii="等线" w:hAnsi="宋体" w:eastAsia="等线" w:cs="宋体"/>
                <w:b/>
                <w:bCs/>
                <w:kern w:val="0"/>
                <w:sz w:val="22"/>
              </w:rPr>
              <w:t>数据迁移服务：</w:t>
            </w:r>
            <w:r>
              <w:rPr>
                <w:rFonts w:hint="eastAsia" w:ascii="等线" w:hAnsi="宋体" w:eastAsia="等线" w:cs="宋体"/>
                <w:kern w:val="0"/>
                <w:sz w:val="22"/>
              </w:rPr>
              <w:t>设备完成安装调试后，根据甲方需求，设备生产厂商配合甲方完成应用业务数据迁移工作，保证应用业务数据正常迁移并可同步传输现有数据，保障系统平稳运行。（提供承诺函并加盖鲜章）</w:t>
            </w: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409" w:type="pct"/>
            <w:vMerge w:val="continue"/>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r>
      <w:tr>
        <w:tblPrEx>
          <w:tblCellMar>
            <w:top w:w="0" w:type="dxa"/>
            <w:left w:w="108" w:type="dxa"/>
            <w:bottom w:w="0" w:type="dxa"/>
            <w:right w:w="108" w:type="dxa"/>
          </w:tblCellMar>
        </w:tblPrEx>
        <w:trPr>
          <w:trHeight w:val="600" w:hRule="atLeast"/>
        </w:trPr>
        <w:tc>
          <w:tcPr>
            <w:tcW w:w="408" w:type="pct"/>
            <w:vMerge w:val="continue"/>
            <w:tcBorders>
              <w:top w:val="nil"/>
              <w:left w:val="single" w:color="auto" w:sz="4" w:space="0"/>
              <w:bottom w:val="nil"/>
              <w:right w:val="single" w:color="auto" w:sz="4" w:space="0"/>
            </w:tcBorders>
            <w:vAlign w:val="center"/>
          </w:tcPr>
          <w:p>
            <w:pPr>
              <w:widowControl/>
              <w:jc w:val="left"/>
              <w:rPr>
                <w:rFonts w:ascii="等线" w:hAnsi="宋体" w:eastAsia="等线" w:cs="宋体"/>
                <w:b/>
                <w:bCs/>
                <w:color w:val="000000"/>
                <w:kern w:val="0"/>
                <w:sz w:val="24"/>
              </w:rPr>
            </w:pPr>
          </w:p>
        </w:tc>
        <w:tc>
          <w:tcPr>
            <w:tcW w:w="690" w:type="pct"/>
            <w:vMerge w:val="continue"/>
            <w:tcBorders>
              <w:top w:val="nil"/>
              <w:left w:val="single" w:color="auto" w:sz="4" w:space="0"/>
              <w:bottom w:val="nil"/>
              <w:right w:val="single" w:color="auto" w:sz="4" w:space="0"/>
            </w:tcBorders>
            <w:vAlign w:val="center"/>
          </w:tcPr>
          <w:p>
            <w:pPr>
              <w:widowControl/>
              <w:jc w:val="left"/>
              <w:rPr>
                <w:rFonts w:ascii="等线" w:hAnsi="宋体" w:eastAsia="等线" w:cs="宋体"/>
                <w:b/>
                <w:bCs/>
                <w:color w:val="000000"/>
                <w:kern w:val="0"/>
                <w:sz w:val="24"/>
              </w:rPr>
            </w:pPr>
          </w:p>
        </w:tc>
        <w:tc>
          <w:tcPr>
            <w:tcW w:w="3083" w:type="pct"/>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jc w:val="left"/>
              <w:rPr>
                <w:rFonts w:ascii="等线" w:hAnsi="宋体" w:eastAsia="等线" w:cs="宋体"/>
                <w:kern w:val="0"/>
                <w:sz w:val="22"/>
              </w:rPr>
            </w:pPr>
            <w:r>
              <w:rPr>
                <w:rFonts w:hint="eastAsia" w:ascii="等线" w:hAnsi="宋体" w:eastAsia="等线" w:cs="宋体"/>
                <w:b/>
                <w:bCs/>
                <w:kern w:val="0"/>
                <w:sz w:val="22"/>
              </w:rPr>
              <w:t>配套辅材：</w:t>
            </w:r>
            <w:r>
              <w:rPr>
                <w:rFonts w:hint="eastAsia" w:ascii="等线" w:hAnsi="宋体" w:eastAsia="等线" w:cs="宋体"/>
                <w:kern w:val="0"/>
                <w:sz w:val="22"/>
              </w:rPr>
              <w:t>包含但不限于部署过程所需的各类线缆及备件;</w:t>
            </w:r>
          </w:p>
        </w:tc>
        <w:tc>
          <w:tcPr>
            <w:tcW w:w="409" w:type="pct"/>
            <w:vMerge w:val="continue"/>
            <w:tcBorders>
              <w:top w:val="nil"/>
              <w:left w:val="single" w:color="auto" w:sz="4" w:space="0"/>
              <w:bottom w:val="nil"/>
              <w:right w:val="single" w:color="auto" w:sz="4" w:space="0"/>
            </w:tcBorders>
            <w:vAlign w:val="center"/>
          </w:tcPr>
          <w:p>
            <w:pPr>
              <w:widowControl/>
              <w:jc w:val="left"/>
              <w:rPr>
                <w:rFonts w:ascii="等线" w:hAnsi="宋体" w:eastAsia="等线" w:cs="宋体"/>
                <w:b/>
                <w:bCs/>
                <w:color w:val="000000"/>
                <w:kern w:val="0"/>
                <w:sz w:val="24"/>
              </w:rPr>
            </w:pPr>
          </w:p>
        </w:tc>
        <w:tc>
          <w:tcPr>
            <w:tcW w:w="409" w:type="pct"/>
            <w:vMerge w:val="continue"/>
            <w:tcBorders>
              <w:top w:val="nil"/>
              <w:left w:val="single" w:color="auto" w:sz="4" w:space="0"/>
              <w:bottom w:val="nil"/>
              <w:right w:val="single" w:color="auto" w:sz="4" w:space="0"/>
            </w:tcBorders>
            <w:vAlign w:val="center"/>
          </w:tcPr>
          <w:p>
            <w:pPr>
              <w:widowControl/>
              <w:jc w:val="left"/>
              <w:rPr>
                <w:rFonts w:ascii="等线" w:hAnsi="宋体" w:eastAsia="等线" w:cs="宋体"/>
                <w:b/>
                <w:bCs/>
                <w:color w:val="000000"/>
                <w:kern w:val="0"/>
                <w:sz w:val="24"/>
              </w:rPr>
            </w:pPr>
          </w:p>
        </w:tc>
      </w:tr>
      <w:tr>
        <w:tblPrEx>
          <w:tblCellMar>
            <w:top w:w="0" w:type="dxa"/>
            <w:left w:w="108" w:type="dxa"/>
            <w:bottom w:w="0" w:type="dxa"/>
            <w:right w:w="108" w:type="dxa"/>
          </w:tblCellMar>
        </w:tblPrEx>
        <w:trPr>
          <w:trHeight w:val="600" w:hRule="atLeast"/>
        </w:trPr>
        <w:tc>
          <w:tcPr>
            <w:tcW w:w="408" w:type="pct"/>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690" w:type="pct"/>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3083" w:type="pct"/>
            <w:tcBorders>
              <w:top w:val="single" w:color="auto" w:sz="4" w:space="0"/>
              <w:left w:val="nil"/>
              <w:bottom w:val="single" w:color="auto" w:sz="4" w:space="0"/>
              <w:right w:val="single" w:color="auto" w:sz="4" w:space="0"/>
            </w:tcBorders>
            <w:shd w:val="clear" w:color="auto" w:fill="auto"/>
            <w:vAlign w:val="center"/>
          </w:tcPr>
          <w:p>
            <w:pPr>
              <w:rPr>
                <w:rFonts w:ascii="等线" w:hAnsi="宋体" w:eastAsia="等线" w:cs="宋体"/>
                <w:b/>
                <w:kern w:val="0"/>
                <w:sz w:val="22"/>
              </w:rPr>
            </w:pPr>
            <w:r>
              <w:rPr>
                <w:rFonts w:hint="eastAsia" w:ascii="等线" w:hAnsi="宋体" w:eastAsia="等线" w:cs="宋体"/>
                <w:b/>
                <w:kern w:val="0"/>
                <w:sz w:val="22"/>
              </w:rPr>
              <w:t>售后服务：</w:t>
            </w:r>
            <w:r>
              <w:rPr>
                <w:rFonts w:hint="eastAsia" w:ascii="等线" w:hAnsi="宋体" w:eastAsia="等线" w:cs="宋体"/>
                <w:kern w:val="0"/>
                <w:sz w:val="22"/>
              </w:rPr>
              <w:t>提供设备生产厂商针对本项目的原厂售后承诺书（加盖原厂鲜章）;</w:t>
            </w:r>
          </w:p>
        </w:tc>
        <w:tc>
          <w:tcPr>
            <w:tcW w:w="409" w:type="pct"/>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c>
          <w:tcPr>
            <w:tcW w:w="409" w:type="pct"/>
            <w:tcBorders>
              <w:top w:val="nil"/>
              <w:left w:val="single" w:color="auto" w:sz="4" w:space="0"/>
              <w:bottom w:val="single" w:color="000000" w:sz="4" w:space="0"/>
              <w:right w:val="single" w:color="auto" w:sz="4" w:space="0"/>
            </w:tcBorders>
            <w:vAlign w:val="center"/>
          </w:tcPr>
          <w:p>
            <w:pPr>
              <w:widowControl/>
              <w:jc w:val="left"/>
              <w:rPr>
                <w:rFonts w:ascii="等线" w:hAnsi="宋体" w:eastAsia="等线" w:cs="宋体"/>
                <w:b/>
                <w:bCs/>
                <w:color w:val="000000"/>
                <w:kern w:val="0"/>
                <w:sz w:val="24"/>
              </w:rPr>
            </w:pPr>
          </w:p>
        </w:tc>
      </w:tr>
      <w:bookmarkEnd w:id="0"/>
    </w:tbl>
    <w:p>
      <w:pPr>
        <w:spacing w:line="580" w:lineRule="exact"/>
        <w:ind w:firstLine="640" w:firstLineChars="200"/>
        <w:rPr>
          <w:rFonts w:ascii="黑体" w:hAnsi="黑体" w:eastAsia="黑体"/>
          <w:szCs w:val="32"/>
        </w:rPr>
      </w:pPr>
      <w:r>
        <w:rPr>
          <w:rFonts w:hint="eastAsia" w:ascii="黑体" w:hAnsi="黑体" w:eastAsia="黑体"/>
          <w:szCs w:val="32"/>
        </w:rPr>
        <w:t>(二)建设要求</w:t>
      </w:r>
    </w:p>
    <w:p>
      <w:pPr>
        <w:spacing w:before="120" w:beforeLines="50" w:after="240" w:afterLines="100" w:line="580" w:lineRule="exact"/>
        <w:ind w:firstLine="640" w:firstLineChars="200"/>
        <w:rPr>
          <w:rFonts w:ascii="仿宋_GB2312" w:hAnsi="仿宋_GB2312" w:cs="仿宋_GB2312"/>
          <w:szCs w:val="32"/>
          <w:lang w:eastAsia="zh-Hans"/>
        </w:rPr>
      </w:pPr>
      <w:r>
        <w:rPr>
          <w:rFonts w:hint="eastAsia" w:ascii="仿宋_GB2312" w:hAnsi="仿宋_GB2312" w:cs="仿宋_GB2312"/>
          <w:szCs w:val="32"/>
          <w:lang w:eastAsia="zh-Hans"/>
        </w:rPr>
        <w:t>1.建设要求</w:t>
      </w:r>
    </w:p>
    <w:p>
      <w:pPr>
        <w:spacing w:line="360" w:lineRule="auto"/>
        <w:ind w:firstLine="543" w:firstLineChars="194"/>
        <w:rPr>
          <w:rFonts w:ascii="仿宋_GB2312" w:hAnsi="仿宋" w:cs="宋体"/>
          <w:sz w:val="28"/>
          <w:szCs w:val="28"/>
        </w:rPr>
      </w:pPr>
      <w:r>
        <w:rPr>
          <w:rFonts w:hint="eastAsia" w:ascii="仿宋_GB2312" w:hAnsi="仿宋" w:cs="宋体"/>
          <w:sz w:val="28"/>
          <w:szCs w:val="28"/>
        </w:rPr>
        <w:t>本次双活数据中心核心存储国产化升级改造项目主要为：</w:t>
      </w:r>
    </w:p>
    <w:p>
      <w:pPr>
        <w:spacing w:line="360" w:lineRule="auto"/>
        <w:ind w:firstLine="543" w:firstLineChars="194"/>
        <w:rPr>
          <w:rFonts w:ascii="仿宋_GB2312" w:hAnsi="仿宋" w:cs="宋体"/>
          <w:sz w:val="28"/>
          <w:szCs w:val="28"/>
        </w:rPr>
      </w:pPr>
      <w:r>
        <w:rPr>
          <w:rFonts w:hint="eastAsia" w:ascii="仿宋_GB2312" w:hAnsi="仿宋" w:cs="宋体"/>
          <w:sz w:val="28"/>
          <w:szCs w:val="28"/>
        </w:rPr>
        <w:t>双活数据中心部署一套两台高性能国产化存储，接入现有双活存储架构，并对该架构进行改造升级，保留并接入原有后端F</w:t>
      </w:r>
      <w:r>
        <w:rPr>
          <w:rFonts w:ascii="仿宋_GB2312" w:hAnsi="仿宋" w:cs="宋体"/>
          <w:sz w:val="28"/>
          <w:szCs w:val="28"/>
        </w:rPr>
        <w:t>C</w:t>
      </w:r>
      <w:r>
        <w:rPr>
          <w:rFonts w:hint="eastAsia" w:ascii="仿宋_GB2312" w:hAnsi="仿宋" w:cs="宋体"/>
          <w:sz w:val="28"/>
          <w:szCs w:val="28"/>
        </w:rPr>
        <w:t>存储网络，同时接入新购置的2</w:t>
      </w:r>
      <w:r>
        <w:rPr>
          <w:rFonts w:ascii="仿宋_GB2312" w:hAnsi="仿宋" w:cs="宋体"/>
          <w:sz w:val="28"/>
          <w:szCs w:val="28"/>
        </w:rPr>
        <w:t>5GE</w:t>
      </w:r>
      <w:r>
        <w:rPr>
          <w:rFonts w:hint="eastAsia" w:ascii="仿宋_GB2312" w:hAnsi="仿宋" w:cs="宋体"/>
          <w:sz w:val="28"/>
          <w:szCs w:val="28"/>
        </w:rPr>
        <w:t>高速以太网交换机。F</w:t>
      </w:r>
      <w:r>
        <w:rPr>
          <w:rFonts w:ascii="仿宋_GB2312" w:hAnsi="仿宋" w:cs="宋体"/>
          <w:sz w:val="28"/>
          <w:szCs w:val="28"/>
        </w:rPr>
        <w:t>C</w:t>
      </w:r>
      <w:r>
        <w:rPr>
          <w:rFonts w:hint="eastAsia" w:ascii="仿宋_GB2312" w:hAnsi="仿宋" w:cs="宋体"/>
          <w:sz w:val="28"/>
          <w:szCs w:val="28"/>
        </w:rPr>
        <w:t>网络对接v</w:t>
      </w:r>
      <w:r>
        <w:rPr>
          <w:rFonts w:ascii="仿宋_GB2312" w:hAnsi="仿宋" w:cs="宋体"/>
          <w:sz w:val="28"/>
          <w:szCs w:val="28"/>
        </w:rPr>
        <w:t>S</w:t>
      </w:r>
      <w:r>
        <w:rPr>
          <w:rFonts w:hint="eastAsia" w:ascii="仿宋_GB2312" w:hAnsi="仿宋" w:cs="宋体"/>
          <w:sz w:val="28"/>
          <w:szCs w:val="28"/>
        </w:rPr>
        <w:t>phere虚拟化平台，2</w:t>
      </w:r>
      <w:r>
        <w:rPr>
          <w:rFonts w:ascii="仿宋_GB2312" w:hAnsi="仿宋" w:cs="宋体"/>
          <w:sz w:val="28"/>
          <w:szCs w:val="28"/>
        </w:rPr>
        <w:t>5GE</w:t>
      </w:r>
      <w:r>
        <w:rPr>
          <w:rFonts w:hint="eastAsia" w:ascii="仿宋_GB2312" w:hAnsi="仿宋" w:cs="宋体"/>
          <w:sz w:val="28"/>
          <w:szCs w:val="28"/>
        </w:rPr>
        <w:t>网络对接国产化云计算平台。本次计划采用四控全闪存存储，面向数据中心核心应用，以提供高性能、安全可靠、资源弹性部署的存储平台。</w:t>
      </w:r>
    </w:p>
    <w:p>
      <w:pPr>
        <w:pStyle w:val="45"/>
        <w:spacing w:line="360" w:lineRule="auto"/>
        <w:ind w:firstLine="560" w:firstLineChars="200"/>
        <w:rPr>
          <w:rFonts w:ascii="仿宋_GB2312" w:hAnsi="仿宋_GB2312" w:cs="仿宋_GB2312"/>
          <w:szCs w:val="32"/>
        </w:rPr>
      </w:pPr>
      <w:r>
        <w:rPr>
          <w:rFonts w:hint="eastAsia" w:ascii="仿宋_GB2312" w:hAnsi="仿宋" w:cs="宋体"/>
          <w:sz w:val="28"/>
          <w:szCs w:val="28"/>
        </w:rPr>
        <w:t>存储系统配置≥1TB高速缓存，并结合实际业务需要，本次配置可用容量不得少于100TB，配置SSD硬盘 ,以</w:t>
      </w:r>
      <w:r>
        <w:rPr>
          <w:rFonts w:ascii="仿宋_GB2312" w:hAnsi="仿宋" w:cs="宋体"/>
          <w:sz w:val="28"/>
          <w:szCs w:val="28"/>
        </w:rPr>
        <w:t>突破性能瓶颈，提供</w:t>
      </w:r>
      <w:r>
        <w:rPr>
          <w:rFonts w:hint="eastAsia" w:ascii="仿宋_GB2312" w:hAnsi="仿宋" w:cs="宋体"/>
          <w:sz w:val="28"/>
          <w:szCs w:val="28"/>
        </w:rPr>
        <w:t>较好的</w:t>
      </w:r>
      <w:r>
        <w:rPr>
          <w:rFonts w:ascii="仿宋_GB2312" w:hAnsi="仿宋" w:cs="宋体"/>
          <w:sz w:val="28"/>
          <w:szCs w:val="28"/>
        </w:rPr>
        <w:t>IOPS 与低时延</w:t>
      </w:r>
      <w:r>
        <w:rPr>
          <w:rFonts w:hint="eastAsia" w:ascii="仿宋_GB2312" w:hAnsi="仿宋" w:cs="宋体"/>
          <w:sz w:val="28"/>
          <w:szCs w:val="28"/>
        </w:rPr>
        <w:t>。</w:t>
      </w:r>
    </w:p>
    <w:p>
      <w:pPr>
        <w:tabs>
          <w:tab w:val="left" w:pos="312"/>
        </w:tabs>
        <w:spacing w:after="240" w:afterLines="100" w:line="580" w:lineRule="exact"/>
        <w:ind w:firstLine="640" w:firstLineChars="200"/>
        <w:rPr>
          <w:rFonts w:ascii="仿宋_GB2312" w:hAnsi="仿宋_GB2312" w:cs="仿宋_GB2312"/>
          <w:szCs w:val="32"/>
        </w:rPr>
      </w:pPr>
      <w:r>
        <w:rPr>
          <w:rFonts w:hint="eastAsia" w:ascii="仿宋_GB2312" w:hAnsi="仿宋_GB2312" w:cs="仿宋_GB2312"/>
          <w:szCs w:val="32"/>
        </w:rPr>
        <w:t>2.整体架构</w:t>
      </w:r>
    </w:p>
    <w:p>
      <w:pPr>
        <w:ind w:firstLine="420"/>
        <w:rPr>
          <w:rFonts w:ascii="仿宋_GB2312" w:hAnsi="仿宋" w:cs="宋体"/>
          <w:sz w:val="28"/>
          <w:szCs w:val="28"/>
          <w:vertAlign w:val="superscript"/>
        </w:rPr>
      </w:pPr>
      <w:r>
        <w:drawing>
          <wp:anchor distT="0" distB="0" distL="114300" distR="114300" simplePos="0" relativeHeight="251658240" behindDoc="0" locked="0" layoutInCell="1" allowOverlap="1">
            <wp:simplePos x="0" y="0"/>
            <wp:positionH relativeFrom="column">
              <wp:posOffset>239395</wp:posOffset>
            </wp:positionH>
            <wp:positionV relativeFrom="paragraph">
              <wp:posOffset>313055</wp:posOffset>
            </wp:positionV>
            <wp:extent cx="5615940" cy="2384425"/>
            <wp:effectExtent l="0" t="0" r="381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615940" cy="2384425"/>
                    </a:xfrm>
                    <a:prstGeom prst="rect">
                      <a:avLst/>
                    </a:prstGeom>
                  </pic:spPr>
                </pic:pic>
              </a:graphicData>
            </a:graphic>
          </wp:anchor>
        </w:drawing>
      </w:r>
      <w:r>
        <w:rPr>
          <w:rFonts w:hint="eastAsia" w:ascii="仿宋_GB2312" w:hAnsi="仿宋" w:cs="宋体"/>
          <w:sz w:val="28"/>
          <w:szCs w:val="28"/>
        </w:rPr>
        <w:t>现有存储架构：</w:t>
      </w:r>
    </w:p>
    <w:p>
      <w:pPr>
        <w:ind w:firstLine="560"/>
        <w:rPr>
          <w:rFonts w:ascii="仿宋_GB2312" w:hAnsi="仿宋" w:cs="宋体"/>
          <w:sz w:val="28"/>
          <w:szCs w:val="28"/>
        </w:rPr>
      </w:pPr>
      <w:r>
        <w:rPr>
          <w:rFonts w:ascii="仿宋_GB2312" w:hAnsi="仿宋" w:cs="宋体"/>
          <w:sz w:val="28"/>
          <w:szCs w:val="28"/>
        </w:rPr>
        <w:drawing>
          <wp:anchor distT="0" distB="0" distL="114300" distR="114300" simplePos="0" relativeHeight="251659264" behindDoc="0" locked="0" layoutInCell="1" allowOverlap="1">
            <wp:simplePos x="0" y="0"/>
            <wp:positionH relativeFrom="margin">
              <wp:align>right</wp:align>
            </wp:positionH>
            <wp:positionV relativeFrom="paragraph">
              <wp:posOffset>2931795</wp:posOffset>
            </wp:positionV>
            <wp:extent cx="5274310" cy="2244090"/>
            <wp:effectExtent l="0" t="0" r="2540" b="381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2244090"/>
                    </a:xfrm>
                    <a:prstGeom prst="rect">
                      <a:avLst/>
                    </a:prstGeom>
                  </pic:spPr>
                </pic:pic>
              </a:graphicData>
            </a:graphic>
          </wp:anchor>
        </w:drawing>
      </w:r>
      <w:r>
        <w:rPr>
          <w:rFonts w:hint="eastAsia" w:ascii="仿宋_GB2312" w:hAnsi="仿宋" w:cs="宋体"/>
          <w:sz w:val="28"/>
          <w:szCs w:val="28"/>
        </w:rPr>
        <w:t>改造存储架构：</w:t>
      </w:r>
    </w:p>
    <w:p>
      <w:pPr>
        <w:spacing w:line="579" w:lineRule="exact"/>
        <w:ind w:firstLine="640" w:firstLineChars="200"/>
        <w:rPr>
          <w:rFonts w:ascii="仿宋_GB2312" w:hAnsi="仿宋_GB2312" w:cs="仿宋_GB2312"/>
          <w:szCs w:val="32"/>
        </w:rPr>
      </w:pPr>
      <w:r>
        <w:rPr>
          <w:rFonts w:ascii="仿宋_GB2312" w:hAnsi="仿宋_GB2312" w:cs="仿宋_GB2312"/>
          <w:szCs w:val="32"/>
        </w:rPr>
        <w:t>3</w:t>
      </w:r>
      <w:r>
        <w:rPr>
          <w:rFonts w:hint="eastAsia" w:ascii="仿宋_GB2312" w:hAnsi="仿宋_GB2312" w:cs="仿宋_GB2312"/>
          <w:szCs w:val="32"/>
        </w:rPr>
        <w:t>.系统建设功能模块</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（1）双活工作模式，支持同时并发读写</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对称双活存储系统中的两台存储阵列同时处于工作模式，组成双活镜像对的数据卷可同时被服务器进行读写访问。利用系统内部数据同步技术，在两台存储同时进行数据写入时，保证数据的一致性，从而提高故障切换速度。</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w:t>
      </w:r>
      <w:r>
        <w:rPr>
          <w:rFonts w:ascii="仿宋_GB2312" w:hAnsi="仿宋" w:cs="宋体"/>
          <w:sz w:val="28"/>
          <w:szCs w:val="28"/>
        </w:rPr>
        <w:t>2</w:t>
      </w:r>
      <w:r>
        <w:rPr>
          <w:rFonts w:hint="eastAsia" w:ascii="仿宋_GB2312" w:hAnsi="仿宋" w:cs="宋体"/>
          <w:sz w:val="28"/>
          <w:szCs w:val="28"/>
        </w:rPr>
        <w:t>）快速故障切换，无须人工干预</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对称双活存储系统中的两台存储阵列相互冗余，当其中一台存储阵列发生故障时，可由另一台存储阵列直接接管。对于服务器，由于挂载的是虚拟卷，因此存储阵列的故障切换仅为存储访问路径切换，切换速度应为秒级，业务无须中断，且不需任何人工干预。</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w:t>
      </w:r>
      <w:r>
        <w:rPr>
          <w:rFonts w:ascii="仿宋_GB2312" w:hAnsi="仿宋" w:cs="宋体"/>
          <w:sz w:val="28"/>
          <w:szCs w:val="28"/>
        </w:rPr>
        <w:t>3</w:t>
      </w:r>
      <w:r>
        <w:rPr>
          <w:rFonts w:hint="eastAsia" w:ascii="仿宋_GB2312" w:hAnsi="仿宋" w:cs="宋体"/>
          <w:sz w:val="28"/>
          <w:szCs w:val="28"/>
        </w:rPr>
        <w:t>）支持2</w:t>
      </w:r>
      <w:r>
        <w:rPr>
          <w:rFonts w:ascii="仿宋_GB2312" w:hAnsi="仿宋" w:cs="宋体"/>
          <w:sz w:val="28"/>
          <w:szCs w:val="28"/>
        </w:rPr>
        <w:t>5G</w:t>
      </w:r>
      <w:r>
        <w:rPr>
          <w:rFonts w:hint="eastAsia" w:ascii="仿宋_GB2312" w:hAnsi="仿宋" w:cs="宋体"/>
          <w:sz w:val="28"/>
          <w:szCs w:val="28"/>
        </w:rPr>
        <w:t>以太网传输</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对称双活存储系统中的两台存储阵列，支持≥2</w:t>
      </w:r>
      <w:r>
        <w:rPr>
          <w:rFonts w:ascii="仿宋_GB2312" w:hAnsi="仿宋" w:cs="宋体"/>
          <w:sz w:val="28"/>
          <w:szCs w:val="28"/>
        </w:rPr>
        <w:t>5G</w:t>
      </w:r>
      <w:r>
        <w:rPr>
          <w:rFonts w:hint="eastAsia" w:ascii="仿宋_GB2312" w:hAnsi="仿宋" w:cs="宋体"/>
          <w:sz w:val="28"/>
          <w:szCs w:val="28"/>
        </w:rPr>
        <w:t>以太网进行数据同步。两台存储阵列均需配置2</w:t>
      </w:r>
      <w:r>
        <w:rPr>
          <w:rFonts w:ascii="仿宋_GB2312" w:hAnsi="仿宋" w:cs="宋体"/>
          <w:sz w:val="28"/>
          <w:szCs w:val="28"/>
        </w:rPr>
        <w:t>5G</w:t>
      </w:r>
      <w:r>
        <w:rPr>
          <w:rFonts w:hint="eastAsia" w:ascii="仿宋_GB2312" w:hAnsi="仿宋" w:cs="宋体"/>
          <w:sz w:val="28"/>
          <w:szCs w:val="28"/>
        </w:rPr>
        <w:t>以太网接口，通过光纤直连。任一存储在写入数据时，可通过2</w:t>
      </w:r>
      <w:r>
        <w:rPr>
          <w:rFonts w:ascii="仿宋_GB2312" w:hAnsi="仿宋" w:cs="宋体"/>
          <w:sz w:val="28"/>
          <w:szCs w:val="28"/>
        </w:rPr>
        <w:t>5G</w:t>
      </w:r>
      <w:r>
        <w:rPr>
          <w:rFonts w:hint="eastAsia" w:ascii="仿宋_GB2312" w:hAnsi="仿宋" w:cs="宋体"/>
          <w:sz w:val="28"/>
          <w:szCs w:val="28"/>
        </w:rPr>
        <w:t>以太网进行对端数据同步。</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w:t>
      </w:r>
      <w:r>
        <w:rPr>
          <w:rFonts w:ascii="仿宋_GB2312" w:hAnsi="仿宋" w:cs="宋体"/>
          <w:sz w:val="28"/>
          <w:szCs w:val="28"/>
        </w:rPr>
        <w:t>4</w:t>
      </w:r>
      <w:r>
        <w:rPr>
          <w:rFonts w:hint="eastAsia" w:ascii="仿宋_GB2312" w:hAnsi="仿宋" w:cs="宋体"/>
          <w:sz w:val="28"/>
          <w:szCs w:val="28"/>
        </w:rPr>
        <w:t>）支持RDMA技术</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支持在本地直接存取对端引擎内存数据，不需经过CP</w:t>
      </w:r>
      <w:r>
        <w:rPr>
          <w:rFonts w:ascii="仿宋_GB2312" w:hAnsi="仿宋" w:cs="宋体"/>
          <w:sz w:val="28"/>
          <w:szCs w:val="28"/>
        </w:rPr>
        <w:t>U</w:t>
      </w:r>
      <w:r>
        <w:rPr>
          <w:rFonts w:hint="eastAsia" w:ascii="仿宋_GB2312" w:hAnsi="仿宋" w:cs="宋体"/>
          <w:sz w:val="28"/>
          <w:szCs w:val="28"/>
        </w:rPr>
        <w:t>传输，从而减少对总线带宽和CPU开销。同时，存储设备的软件平台需支持RDMA存取，从而提高数据传输性能。</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w:t>
      </w:r>
      <w:r>
        <w:rPr>
          <w:rFonts w:ascii="仿宋_GB2312" w:hAnsi="仿宋" w:cs="宋体"/>
          <w:sz w:val="28"/>
          <w:szCs w:val="28"/>
        </w:rPr>
        <w:t>5</w:t>
      </w:r>
      <w:r>
        <w:rPr>
          <w:rFonts w:hint="eastAsia" w:ascii="仿宋_GB2312" w:hAnsi="仿宋" w:cs="宋体"/>
          <w:sz w:val="28"/>
          <w:szCs w:val="28"/>
        </w:rPr>
        <w:t>）虚拟卷技术</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对称双活存储系统应支持虚拟卷技术，组成双活镜像对的数据卷，物理位置上在两台存储阵列，但会被虚拟成一个逻辑卷。不需要在服务器安装任何第三方软件，通过系统自带多路径软件，实现对数据卷的正常读写和故障切换控制。</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w:t>
      </w:r>
      <w:r>
        <w:rPr>
          <w:rFonts w:ascii="仿宋_GB2312" w:hAnsi="仿宋" w:cs="宋体"/>
          <w:sz w:val="28"/>
          <w:szCs w:val="28"/>
        </w:rPr>
        <w:t>6</w:t>
      </w:r>
      <w:r>
        <w:rPr>
          <w:rFonts w:hint="eastAsia" w:ascii="仿宋_GB2312" w:hAnsi="仿宋" w:cs="宋体"/>
          <w:sz w:val="28"/>
          <w:szCs w:val="28"/>
        </w:rPr>
        <w:t>）单阵列四控，双活八控</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对称双活存储系统应是一个高度可靠的系统。每台存储阵列本身就是一台四控冗余存储阵列，自身应具备高可靠性。通过两台四控存储阵列组成双活存储系统，同时具有两份完全相同的数据，并且可以实时切换，为应用系统提供较好的业务连续性保障。</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本次建设的双活存储系统单台设备应采用一框四控的架构。在控制框内，将四个控制器通过PCI-E或RDMA或InfiniBand总线技术进行互联。四个控制器应能够实时同步缓存数据，保障任意三个控制器故障时，缓存数据不丢失。在保证链路冗余性的同时，通过全局硬盘资源统一共享和独立访问，以及RAID方式能够对各业务应用提供存储空间服务。采用模块化、全冗余的架构设计，任意组件发生故障时，能够实现快速故障隔离，并支持组件平滑更换，确保业务连续。</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w:t>
      </w:r>
      <w:r>
        <w:rPr>
          <w:rFonts w:ascii="仿宋_GB2312" w:hAnsi="仿宋" w:cs="宋体"/>
          <w:sz w:val="28"/>
          <w:szCs w:val="28"/>
        </w:rPr>
        <w:t>7</w:t>
      </w:r>
      <w:r>
        <w:rPr>
          <w:rFonts w:hint="eastAsia" w:ascii="仿宋_GB2312" w:hAnsi="仿宋" w:cs="宋体"/>
          <w:sz w:val="28"/>
          <w:szCs w:val="28"/>
        </w:rPr>
        <w:t>）支持仲裁者机制</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当双活存储内部网络全部断开时，两个存储引擎A和B无法完成心跳检测，进而产生脑裂现象。为有效防止该问题的发生，本次存储系统需要对称双活存储系统支持仲裁机制。一个引擎故障后，另外一个引擎根据仲裁结果自动将业务切换到本端引擎上继续运行，这种判断和切换的操作应为全自动，不需要任何的人为干预。</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w:t>
      </w:r>
      <w:r>
        <w:rPr>
          <w:rFonts w:ascii="仿宋_GB2312" w:hAnsi="仿宋" w:cs="宋体"/>
          <w:sz w:val="28"/>
          <w:szCs w:val="28"/>
        </w:rPr>
        <w:t>8</w:t>
      </w:r>
      <w:r>
        <w:rPr>
          <w:rFonts w:hint="eastAsia" w:ascii="仿宋_GB2312" w:hAnsi="仿宋" w:cs="宋体"/>
          <w:sz w:val="28"/>
          <w:szCs w:val="28"/>
        </w:rPr>
        <w:t>）全IP数据中心改造</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本次部署的双活存储系统，可在后续进行FC组网替换，应支持国产全IP的组网模式，支持1/10/25/40/100Gb/s iSCSI、16/32Gb NVMe over FC、25/</w:t>
      </w:r>
      <w:r>
        <w:rPr>
          <w:rFonts w:ascii="仿宋_GB2312" w:hAnsi="仿宋" w:cs="宋体"/>
          <w:sz w:val="28"/>
          <w:szCs w:val="28"/>
        </w:rPr>
        <w:t>50</w:t>
      </w:r>
      <w:r>
        <w:rPr>
          <w:rFonts w:hint="eastAsia" w:ascii="仿宋_GB2312" w:hAnsi="仿宋" w:cs="宋体"/>
          <w:sz w:val="28"/>
          <w:szCs w:val="28"/>
        </w:rPr>
        <w:t>/100Gb NVMe over RoCE等协议。可通过RoCE访问链路，实现无损网络数据传输，从而构建全IP网络架构，简化运维。</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w:t>
      </w:r>
      <w:r>
        <w:rPr>
          <w:rFonts w:ascii="仿宋_GB2312" w:hAnsi="仿宋" w:cs="宋体"/>
          <w:sz w:val="28"/>
          <w:szCs w:val="28"/>
        </w:rPr>
        <w:t>9</w:t>
      </w:r>
      <w:r>
        <w:rPr>
          <w:rFonts w:hint="eastAsia" w:ascii="仿宋_GB2312" w:hAnsi="仿宋" w:cs="宋体"/>
          <w:sz w:val="28"/>
          <w:szCs w:val="28"/>
        </w:rPr>
        <w:t>）国产化兼容</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本次建设的双活存储系统应对主流操作系统、数据库、虚拟化、国产化云计算产品兼容，在确保系统稳定运行的同时，满足后期国产化替换的需要。</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（1</w:t>
      </w:r>
      <w:r>
        <w:rPr>
          <w:rFonts w:ascii="仿宋_GB2312" w:hAnsi="仿宋" w:cs="宋体"/>
          <w:sz w:val="28"/>
          <w:szCs w:val="28"/>
        </w:rPr>
        <w:t>0</w:t>
      </w:r>
      <w:r>
        <w:rPr>
          <w:rFonts w:hint="eastAsia" w:ascii="仿宋_GB2312" w:hAnsi="仿宋" w:cs="宋体"/>
          <w:sz w:val="28"/>
          <w:szCs w:val="28"/>
        </w:rPr>
        <w:t>）数据迁移模块</w:t>
      </w:r>
    </w:p>
    <w:p>
      <w:pPr>
        <w:spacing w:line="580" w:lineRule="exact"/>
        <w:ind w:firstLine="560" w:firstLineChars="200"/>
        <w:rPr>
          <w:rFonts w:ascii="仿宋_GB2312" w:hAnsi="仿宋" w:cs="宋体"/>
          <w:sz w:val="28"/>
          <w:szCs w:val="28"/>
        </w:rPr>
      </w:pPr>
      <w:r>
        <w:rPr>
          <w:rFonts w:hint="eastAsia" w:ascii="仿宋_GB2312" w:hAnsi="仿宋" w:cs="宋体"/>
          <w:sz w:val="28"/>
          <w:szCs w:val="28"/>
        </w:rPr>
        <w:t>本次建设为存储替换项目，涉及数据的迁移工作，因医院业务的重要性，需最低限度减少数据迁移的时间及风险。选择无中断的在线迁移方式进行数据的迁移工作，迁移前需做好充分的准备，包括对软硬件的健康检查，交换机的调试等，并且在迁移前进行迁移演练，演练对象包含但不限于，对应业务系统的测试数据库、测试操作系统、测试虚机环境、原有存储划分出来的测试数据卷等。</w:t>
      </w:r>
    </w:p>
    <w:p>
      <w:pPr>
        <w:pStyle w:val="41"/>
        <w:spacing w:line="580" w:lineRule="exact"/>
        <w:ind w:firstLine="560"/>
        <w:rPr>
          <w:rFonts w:ascii="仿宋_GB2312" w:hAnsi="仿宋" w:eastAsia="仿宋_GB2312" w:cs="宋体"/>
          <w:kern w:val="2"/>
          <w:sz w:val="28"/>
          <w:szCs w:val="28"/>
        </w:rPr>
      </w:pPr>
      <w:r>
        <w:rPr>
          <w:rFonts w:hint="eastAsia" w:ascii="仿宋_GB2312" w:hAnsi="仿宋" w:eastAsia="仿宋_GB2312" w:cs="宋体"/>
          <w:kern w:val="2"/>
          <w:sz w:val="28"/>
          <w:szCs w:val="28"/>
        </w:rPr>
        <w:t>若迁移过程中出现异常，经在场专家和技术人员判断，难以在短时间内恢复正常时，应立即选择数据回退，保障业务的正常运行。</w:t>
      </w:r>
    </w:p>
    <w:p>
      <w:pPr>
        <w:pStyle w:val="41"/>
        <w:spacing w:line="580" w:lineRule="exact"/>
        <w:ind w:firstLine="560"/>
        <w:rPr>
          <w:rFonts w:ascii="仿宋_GB2312" w:hAnsi="仿宋" w:eastAsia="仿宋_GB2312" w:cs="宋体"/>
          <w:kern w:val="2"/>
          <w:sz w:val="28"/>
          <w:szCs w:val="28"/>
        </w:rPr>
      </w:pPr>
      <w:r>
        <w:rPr>
          <w:rFonts w:hint="eastAsia" w:ascii="仿宋_GB2312" w:hAnsi="仿宋" w:eastAsia="仿宋_GB2312" w:cs="宋体"/>
          <w:kern w:val="2"/>
          <w:sz w:val="28"/>
          <w:szCs w:val="28"/>
        </w:rPr>
        <w:t>迁移工作涉及的所有费用均包含于本项目中。</w:t>
      </w:r>
    </w:p>
    <w:p>
      <w:pPr>
        <w:spacing w:line="579" w:lineRule="exact"/>
        <w:ind w:firstLine="640" w:firstLineChars="200"/>
        <w:rPr>
          <w:rFonts w:hAnsi="黑体" w:eastAsia="黑体"/>
          <w:szCs w:val="32"/>
        </w:rPr>
      </w:pPr>
      <w:r>
        <w:rPr>
          <w:rFonts w:hint="eastAsia" w:hAnsi="黑体" w:eastAsia="黑体"/>
          <w:szCs w:val="32"/>
          <w:lang w:eastAsia="zh-CN"/>
        </w:rPr>
        <w:t>六</w:t>
      </w:r>
      <w:r>
        <w:rPr>
          <w:rFonts w:hint="eastAsia" w:hAnsi="黑体" w:eastAsia="黑体"/>
          <w:szCs w:val="32"/>
        </w:rPr>
        <w:t>、项目技术要求</w:t>
      </w:r>
    </w:p>
    <w:p>
      <w:pPr>
        <w:spacing w:line="579" w:lineRule="exact"/>
        <w:ind w:firstLine="640" w:firstLineChars="200"/>
        <w:rPr>
          <w:rFonts w:ascii="仿宋_GB2312" w:hAnsi="仿宋"/>
          <w:color w:val="000000"/>
          <w:szCs w:val="32"/>
        </w:rPr>
      </w:pPr>
      <w:r>
        <w:rPr>
          <w:rFonts w:hint="eastAsia" w:ascii="仿宋_GB2312" w:hAnsi="仿宋"/>
          <w:color w:val="000000"/>
          <w:szCs w:val="32"/>
        </w:rPr>
        <w:t>带★技术参数为关键技术参数，带▲技术参数为重要技术参数，其它为一般参数。带"★"号条款均为实质性响应指标要求，必须全部响应。若有一项带"★"条款未响应或不满足，均视为非实质性响应招标文件，按无效投标处理。</w:t>
      </w:r>
    </w:p>
    <w:p>
      <w:pPr>
        <w:spacing w:line="579" w:lineRule="exact"/>
        <w:ind w:firstLine="640" w:firstLineChars="200"/>
        <w:rPr>
          <w:rFonts w:ascii="仿宋_GB2312" w:hAnsi="仿宋"/>
          <w:color w:val="000000"/>
          <w:szCs w:val="32"/>
        </w:rPr>
      </w:pPr>
      <w:r>
        <w:rPr>
          <w:rFonts w:hint="eastAsia" w:ascii="仿宋_GB2312" w:hAnsi="仿宋"/>
          <w:color w:val="000000"/>
          <w:szCs w:val="32"/>
        </w:rPr>
        <w:t>供应商须提供现场专业技术咨询、安装、调试、初验、终验和试运行保障及维修保养服务（提供安装、测试所用的测试设备、工具等），并按照需求方要求进行产品客户化。在投标文件中提交安装、调试、验收实施计划书，在安装调试验收无误后，提交安装实施、调试、检测报告、验收报告、技术资料、系统技术说明书、使用说明书、维护手册等。</w:t>
      </w:r>
    </w:p>
    <w:p>
      <w:pPr>
        <w:spacing w:line="579" w:lineRule="exact"/>
        <w:ind w:firstLine="640" w:firstLineChars="200"/>
        <w:rPr>
          <w:rFonts w:ascii="黑体" w:hAnsi="黑体" w:eastAsia="黑体"/>
          <w:szCs w:val="32"/>
        </w:rPr>
      </w:pPr>
      <w:r>
        <w:rPr>
          <w:rFonts w:hint="eastAsia" w:ascii="黑体" w:hAnsi="黑体" w:eastAsia="黑体"/>
          <w:szCs w:val="32"/>
          <w:lang w:eastAsia="zh-CN"/>
        </w:rPr>
        <w:t>七</w:t>
      </w:r>
      <w:r>
        <w:rPr>
          <w:rFonts w:hint="eastAsia" w:ascii="黑体" w:hAnsi="黑体" w:eastAsia="黑体"/>
          <w:szCs w:val="32"/>
        </w:rPr>
        <w:t>、其它要求</w:t>
      </w:r>
    </w:p>
    <w:p>
      <w:pPr>
        <w:tabs>
          <w:tab w:val="left" w:pos="840"/>
          <w:tab w:val="left" w:pos="1080"/>
        </w:tabs>
        <w:autoSpaceDE w:val="0"/>
        <w:autoSpaceDN w:val="0"/>
        <w:adjustRightInd w:val="0"/>
        <w:spacing w:line="579" w:lineRule="exact"/>
        <w:ind w:firstLine="640" w:firstLineChars="200"/>
        <w:outlineLvl w:val="3"/>
        <w:rPr>
          <w:rFonts w:ascii="仿宋_GB2312"/>
          <w:spacing w:val="-6"/>
          <w:szCs w:val="32"/>
        </w:rPr>
      </w:pPr>
      <w:r>
        <w:rPr>
          <w:rFonts w:hint="eastAsia" w:ascii="仿宋" w:hAnsi="仿宋" w:eastAsia="仿宋"/>
          <w:szCs w:val="32"/>
        </w:rPr>
        <w:t>交货时要求</w:t>
      </w:r>
      <w:r>
        <w:rPr>
          <w:rFonts w:hint="eastAsia" w:ascii="仿宋_GB2312"/>
          <w:spacing w:val="-6"/>
          <w:szCs w:val="32"/>
        </w:rPr>
        <w:t>中标方</w:t>
      </w:r>
      <w:r>
        <w:rPr>
          <w:rFonts w:hint="eastAsia" w:ascii="仿宋" w:hAnsi="仿宋" w:eastAsia="仿宋"/>
          <w:szCs w:val="32"/>
        </w:rPr>
        <w:t>就所投产品提供产品说明书、质保承诺函和检测报告等证明文件，我方有权核实招标要求的产品功能，有权要求</w:t>
      </w:r>
      <w:r>
        <w:rPr>
          <w:rFonts w:hint="eastAsia" w:ascii="仿宋_GB2312"/>
          <w:spacing w:val="-6"/>
          <w:szCs w:val="32"/>
        </w:rPr>
        <w:t>中标方对产品的合法供货渠道进行说明。经核实，如中标方所提供产品与招、投标文件中的产品功能不一致，或提供非法渠道的商品，即视为欺诈，为维护我方合法权益，中标方要承担商品价值双倍的赔偿；同时，依据现行的国家法律法规追究其他责任，并连带追究所投产品制造商的责任。</w:t>
      </w:r>
    </w:p>
    <w:p>
      <w:pPr>
        <w:pStyle w:val="48"/>
      </w:pPr>
      <w:r>
        <w:rPr>
          <w:rFonts w:hint="eastAsia" w:ascii="仿宋_GB2312" w:hAnsi="仿宋"/>
          <w:color w:val="000000"/>
          <w:szCs w:val="32"/>
        </w:rPr>
        <w:t>（四）（五）乙方《招标文件》、本采购合同未明确的保修及售后服务条款执行乙方《投标文件》承诺。</w:t>
      </w:r>
      <w:r>
        <w:t>窗体顶端</w:t>
      </w:r>
    </w:p>
    <w:p>
      <w:pPr>
        <w:widowControl/>
        <w:jc w:val="left"/>
        <w:rPr>
          <w:rFonts w:ascii="黑体" w:hAnsi="黑体" w:eastAsia="黑体"/>
        </w:rPr>
      </w:pPr>
      <w:bookmarkStart w:id="1" w:name="_GoBack"/>
      <w:bookmarkEnd w:id="1"/>
    </w:p>
    <w:sectPr>
      <w:footerReference r:id="rId5" w:type="first"/>
      <w:footerReference r:id="rId3" w:type="default"/>
      <w:footerReference r:id="rId4" w:type="even"/>
      <w:pgSz w:w="11906" w:h="16838"/>
      <w:pgMar w:top="2098" w:right="1474" w:bottom="1985" w:left="1588" w:header="709" w:footer="992" w:gutter="0"/>
      <w:pgNumType w:fmt="numberInDash"/>
      <w:cols w:space="720" w:num="1"/>
      <w:titlePg/>
      <w:docGrid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A87" w:usb1="00000000" w:usb2="00000000" w:usb3="00000000" w:csb0="400001BF" w:csb1="DFF7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00000A87" w:usb1="00000000" w:usb2="00000000" w:usb3="00000000" w:csb0="400001BF" w:csb1="DFF70000"/>
  </w:font>
  <w:font w:name="Cambria">
    <w:panose1 w:val="02040503050406030204"/>
    <w:charset w:val="00"/>
    <w:family w:val="roman"/>
    <w:pitch w:val="default"/>
    <w:sig w:usb0="A00002EF" w:usb1="4000004B"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wordWrap w:val="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11 -</w:t>
    </w:r>
    <w:r>
      <w:rPr>
        <w:rFonts w:ascii="宋体" w:hAnsi="宋体"/>
        <w:sz w:val="28"/>
        <w:szCs w:val="28"/>
      </w:rPr>
      <w:fldChar w:fldCharType="end"/>
    </w:r>
  </w:p>
  <w:p>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wordWrap w:val="0"/>
      <w:jc w:val="right"/>
      <w:rPr>
        <w:rFonts w:ascii="宋体" w:hAnsi="宋体"/>
        <w:sz w:val="28"/>
        <w:szCs w:val="28"/>
      </w:rPr>
    </w:pPr>
    <w:r>
      <w:rPr>
        <w:color w:val="FFFFFF"/>
      </w:rPr>
      <w:fldChar w:fldCharType="begin"/>
    </w:r>
    <w:r>
      <w:rPr>
        <w:color w:val="FFFFFF"/>
      </w:rPr>
      <w:instrText xml:space="preserve">PAGE   \* MERGEFORMAT</w:instrText>
    </w:r>
    <w:r>
      <w:rPr>
        <w:color w:val="FFFFFF"/>
      </w:rPr>
      <w:fldChar w:fldCharType="separate"/>
    </w:r>
    <w:r>
      <w:rPr>
        <w:color w:val="FFFFFF"/>
      </w:rPr>
      <w:t>- 12 -</w:t>
    </w:r>
    <w:r>
      <w:rPr>
        <w:color w:val="FFFFFF"/>
      </w:rPr>
      <w:fldChar w:fldCharType="end"/>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12 -</w:t>
    </w:r>
    <w:r>
      <w:rPr>
        <w:rFonts w:ascii="宋体" w:hAnsi="宋体"/>
        <w:sz w:val="28"/>
        <w:szCs w:val="28"/>
      </w:rPr>
      <w:fldChar w:fldCharType="end"/>
    </w:r>
  </w:p>
  <w:p>
    <w:pPr>
      <w:pStyle w:val="16"/>
      <w:rPr>
        <w:color w:val="FFFFFF"/>
      </w:rPr>
    </w:pPr>
  </w:p>
  <w:p>
    <w:pPr>
      <w:pStyle w:val="16"/>
      <w:tabs>
        <w:tab w:val="left" w:pos="7725"/>
        <w:tab w:val="clear" w:pos="4153"/>
        <w:tab w:val="clear" w:pos="8306"/>
      </w:tabs>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tentative="0">
      <w:start w:val="1"/>
      <w:numFmt w:val="decimal"/>
      <w:pStyle w:val="3"/>
      <w:lvlText w:val="%1."/>
      <w:legacy w:legacy="1" w:legacySpace="144" w:legacyIndent="0"/>
      <w:lvlJc w:val="left"/>
      <w:rPr>
        <w:lang w:val="en-US"/>
      </w:rPr>
    </w:lvl>
    <w:lvl w:ilvl="1" w:tentative="0">
      <w:start w:val="1"/>
      <w:numFmt w:val="decimal"/>
      <w:pStyle w:val="4"/>
      <w:lvlText w:val="%1.%2"/>
      <w:legacy w:legacy="1" w:legacySpace="144" w:legacyIndent="0"/>
      <w:lvlJc w:val="left"/>
      <w:rPr>
        <w:lang w:eastAsia="zh-CN"/>
      </w:rPr>
    </w:lvl>
    <w:lvl w:ilvl="2" w:tentative="0">
      <w:start w:val="1"/>
      <w:numFmt w:val="decimal"/>
      <w:pStyle w:val="5"/>
      <w:lvlText w:val="%1.%2.%3"/>
      <w:legacy w:legacy="1" w:legacySpace="144" w:legacyIndent="0"/>
      <w:lvlJc w:val="left"/>
    </w:lvl>
    <w:lvl w:ilvl="3" w:tentative="0">
      <w:start w:val="1"/>
      <w:numFmt w:val="decimal"/>
      <w:pStyle w:val="6"/>
      <w:lvlText w:val="%1.%2.%3.%4"/>
      <w:legacy w:legacy="1" w:legacySpace="144" w:legacyIndent="0"/>
      <w:lvlJc w:val="left"/>
      <w:rPr>
        <w:b/>
      </w:rPr>
    </w:lvl>
    <w:lvl w:ilvl="4" w:tentative="0">
      <w:start w:val="1"/>
      <w:numFmt w:val="decimal"/>
      <w:pStyle w:val="7"/>
      <w:lvlText w:val="%1.%2.%3.%4.%5"/>
      <w:legacy w:legacy="1" w:legacySpace="144" w:legacyIndent="0"/>
      <w:lvlJc w:val="left"/>
    </w:lvl>
    <w:lvl w:ilvl="5" w:tentative="0">
      <w:start w:val="1"/>
      <w:numFmt w:val="decimal"/>
      <w:pStyle w:val="8"/>
      <w:lvlText w:val="%1.%2.%3.%4.%5.%6"/>
      <w:legacy w:legacy="1" w:legacySpace="144" w:legacyIndent="0"/>
      <w:lvlJc w:val="left"/>
    </w:lvl>
    <w:lvl w:ilvl="6" w:tentative="0">
      <w:start w:val="1"/>
      <w:numFmt w:val="decimal"/>
      <w:pStyle w:val="9"/>
      <w:lvlText w:val="%1.%2.%3.%4.%5.%6.%7"/>
      <w:legacy w:legacy="1" w:legacySpace="144" w:legacyIndent="0"/>
      <w:lvlJc w:val="left"/>
    </w:lvl>
    <w:lvl w:ilvl="7" w:tentative="0">
      <w:start w:val="1"/>
      <w:numFmt w:val="decimal"/>
      <w:pStyle w:val="10"/>
      <w:lvlText w:val="%1.%2.%3.%4.%5.%6.%7.%8"/>
      <w:legacy w:legacy="1" w:legacySpace="144" w:legacyIndent="0"/>
      <w:lvlJc w:val="left"/>
    </w:lvl>
    <w:lvl w:ilvl="8" w:tentative="0">
      <w:start w:val="1"/>
      <w:numFmt w:val="decimal"/>
      <w:pStyle w:val="11"/>
      <w:lvlText w:val="%1.%2.%3.%4.%5.%6.%7.%8.%9"/>
      <w:legacy w:legacy="1" w:legacySpace="144" w:legacyIndent="0"/>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58"/>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5301"/>
    <w:rsid w:val="0000001B"/>
    <w:rsid w:val="0000143A"/>
    <w:rsid w:val="000032FD"/>
    <w:rsid w:val="00005301"/>
    <w:rsid w:val="000159FD"/>
    <w:rsid w:val="00023EF4"/>
    <w:rsid w:val="000244C2"/>
    <w:rsid w:val="00035FAB"/>
    <w:rsid w:val="00037A64"/>
    <w:rsid w:val="00040B65"/>
    <w:rsid w:val="00046AE5"/>
    <w:rsid w:val="000477DA"/>
    <w:rsid w:val="000525C0"/>
    <w:rsid w:val="00053251"/>
    <w:rsid w:val="00065BB4"/>
    <w:rsid w:val="00071BF1"/>
    <w:rsid w:val="00074CD5"/>
    <w:rsid w:val="000763A1"/>
    <w:rsid w:val="00080A62"/>
    <w:rsid w:val="000825CC"/>
    <w:rsid w:val="00082780"/>
    <w:rsid w:val="000902FD"/>
    <w:rsid w:val="000908AE"/>
    <w:rsid w:val="00094426"/>
    <w:rsid w:val="00097F79"/>
    <w:rsid w:val="000A1C93"/>
    <w:rsid w:val="000A2048"/>
    <w:rsid w:val="000A672E"/>
    <w:rsid w:val="000B1739"/>
    <w:rsid w:val="000B40E0"/>
    <w:rsid w:val="000C38D3"/>
    <w:rsid w:val="000C5BF8"/>
    <w:rsid w:val="000D4BA2"/>
    <w:rsid w:val="000D572B"/>
    <w:rsid w:val="000D5F9B"/>
    <w:rsid w:val="000E78BC"/>
    <w:rsid w:val="000F60AF"/>
    <w:rsid w:val="00101EAA"/>
    <w:rsid w:val="00103BFA"/>
    <w:rsid w:val="00111346"/>
    <w:rsid w:val="001167BF"/>
    <w:rsid w:val="001303A3"/>
    <w:rsid w:val="0013211E"/>
    <w:rsid w:val="001352A7"/>
    <w:rsid w:val="00141BFB"/>
    <w:rsid w:val="001432DB"/>
    <w:rsid w:val="00145B5C"/>
    <w:rsid w:val="00150376"/>
    <w:rsid w:val="00153171"/>
    <w:rsid w:val="00154482"/>
    <w:rsid w:val="001563DD"/>
    <w:rsid w:val="001578EE"/>
    <w:rsid w:val="0016366D"/>
    <w:rsid w:val="00164F05"/>
    <w:rsid w:val="00165392"/>
    <w:rsid w:val="0016606D"/>
    <w:rsid w:val="0016657C"/>
    <w:rsid w:val="00190A29"/>
    <w:rsid w:val="001933EF"/>
    <w:rsid w:val="00197E68"/>
    <w:rsid w:val="001A66F7"/>
    <w:rsid w:val="001B0DEB"/>
    <w:rsid w:val="001B68BA"/>
    <w:rsid w:val="001D0D05"/>
    <w:rsid w:val="001D1310"/>
    <w:rsid w:val="001D3CB6"/>
    <w:rsid w:val="001D460B"/>
    <w:rsid w:val="001D47F2"/>
    <w:rsid w:val="001D5D96"/>
    <w:rsid w:val="001E1616"/>
    <w:rsid w:val="001E2624"/>
    <w:rsid w:val="001E52EE"/>
    <w:rsid w:val="001F3F42"/>
    <w:rsid w:val="00200946"/>
    <w:rsid w:val="00201FDC"/>
    <w:rsid w:val="00203555"/>
    <w:rsid w:val="00204187"/>
    <w:rsid w:val="00207115"/>
    <w:rsid w:val="002127E8"/>
    <w:rsid w:val="00212C11"/>
    <w:rsid w:val="00213384"/>
    <w:rsid w:val="00220FEB"/>
    <w:rsid w:val="00226222"/>
    <w:rsid w:val="00231E46"/>
    <w:rsid w:val="00232C2C"/>
    <w:rsid w:val="00233226"/>
    <w:rsid w:val="0023480A"/>
    <w:rsid w:val="00237839"/>
    <w:rsid w:val="00251CF0"/>
    <w:rsid w:val="00256C14"/>
    <w:rsid w:val="0026171D"/>
    <w:rsid w:val="00264FE1"/>
    <w:rsid w:val="00272D01"/>
    <w:rsid w:val="0027769D"/>
    <w:rsid w:val="0028013D"/>
    <w:rsid w:val="002975CB"/>
    <w:rsid w:val="002D19EF"/>
    <w:rsid w:val="002E35E0"/>
    <w:rsid w:val="002E627D"/>
    <w:rsid w:val="002F6AE1"/>
    <w:rsid w:val="00301A57"/>
    <w:rsid w:val="00305605"/>
    <w:rsid w:val="00315924"/>
    <w:rsid w:val="00316303"/>
    <w:rsid w:val="00331255"/>
    <w:rsid w:val="003324DF"/>
    <w:rsid w:val="00333F58"/>
    <w:rsid w:val="003446D4"/>
    <w:rsid w:val="00351D99"/>
    <w:rsid w:val="00351EE2"/>
    <w:rsid w:val="00353311"/>
    <w:rsid w:val="00360962"/>
    <w:rsid w:val="00361128"/>
    <w:rsid w:val="00362FD9"/>
    <w:rsid w:val="003639ED"/>
    <w:rsid w:val="00373305"/>
    <w:rsid w:val="003753C1"/>
    <w:rsid w:val="0038348C"/>
    <w:rsid w:val="0038501A"/>
    <w:rsid w:val="00393D27"/>
    <w:rsid w:val="00394915"/>
    <w:rsid w:val="003949E4"/>
    <w:rsid w:val="003A0CD2"/>
    <w:rsid w:val="003A5E73"/>
    <w:rsid w:val="003B4FE8"/>
    <w:rsid w:val="003C31BD"/>
    <w:rsid w:val="003D09E8"/>
    <w:rsid w:val="003D2C6F"/>
    <w:rsid w:val="003E0F7A"/>
    <w:rsid w:val="003E61FB"/>
    <w:rsid w:val="00403BBD"/>
    <w:rsid w:val="00410DBF"/>
    <w:rsid w:val="00420FCA"/>
    <w:rsid w:val="00421DDC"/>
    <w:rsid w:val="0042676F"/>
    <w:rsid w:val="004336C4"/>
    <w:rsid w:val="00440C61"/>
    <w:rsid w:val="0044343B"/>
    <w:rsid w:val="00453C81"/>
    <w:rsid w:val="00454A6A"/>
    <w:rsid w:val="00455583"/>
    <w:rsid w:val="00460938"/>
    <w:rsid w:val="004610F8"/>
    <w:rsid w:val="00467FD4"/>
    <w:rsid w:val="00481B65"/>
    <w:rsid w:val="004838DE"/>
    <w:rsid w:val="00490EF4"/>
    <w:rsid w:val="00491865"/>
    <w:rsid w:val="004935CE"/>
    <w:rsid w:val="00494F57"/>
    <w:rsid w:val="004A0B34"/>
    <w:rsid w:val="004A0C4A"/>
    <w:rsid w:val="004A2989"/>
    <w:rsid w:val="004A7440"/>
    <w:rsid w:val="004B6AD2"/>
    <w:rsid w:val="004C194D"/>
    <w:rsid w:val="004C3121"/>
    <w:rsid w:val="004C501C"/>
    <w:rsid w:val="004C7183"/>
    <w:rsid w:val="004D64B5"/>
    <w:rsid w:val="004E18FD"/>
    <w:rsid w:val="004E232F"/>
    <w:rsid w:val="004E29FF"/>
    <w:rsid w:val="004E3D79"/>
    <w:rsid w:val="00515C2A"/>
    <w:rsid w:val="005179CB"/>
    <w:rsid w:val="005342BB"/>
    <w:rsid w:val="00543ADE"/>
    <w:rsid w:val="0054410A"/>
    <w:rsid w:val="005534D2"/>
    <w:rsid w:val="00554039"/>
    <w:rsid w:val="00554695"/>
    <w:rsid w:val="00554AFD"/>
    <w:rsid w:val="0056357E"/>
    <w:rsid w:val="00566F1D"/>
    <w:rsid w:val="005702D3"/>
    <w:rsid w:val="005728B4"/>
    <w:rsid w:val="00572B70"/>
    <w:rsid w:val="00575E93"/>
    <w:rsid w:val="005778CC"/>
    <w:rsid w:val="00582D61"/>
    <w:rsid w:val="00587301"/>
    <w:rsid w:val="005903CB"/>
    <w:rsid w:val="00590638"/>
    <w:rsid w:val="00595CBD"/>
    <w:rsid w:val="00596671"/>
    <w:rsid w:val="005A1660"/>
    <w:rsid w:val="005C6F2F"/>
    <w:rsid w:val="005D0118"/>
    <w:rsid w:val="005E3421"/>
    <w:rsid w:val="005E4403"/>
    <w:rsid w:val="005E7C22"/>
    <w:rsid w:val="005F20BF"/>
    <w:rsid w:val="005F7953"/>
    <w:rsid w:val="00601441"/>
    <w:rsid w:val="006177BA"/>
    <w:rsid w:val="00627D1D"/>
    <w:rsid w:val="0063034D"/>
    <w:rsid w:val="0065289D"/>
    <w:rsid w:val="00684C5D"/>
    <w:rsid w:val="00690DDB"/>
    <w:rsid w:val="006A27A1"/>
    <w:rsid w:val="006A3BF2"/>
    <w:rsid w:val="006A40E8"/>
    <w:rsid w:val="006A471B"/>
    <w:rsid w:val="006A7B42"/>
    <w:rsid w:val="006B1EF3"/>
    <w:rsid w:val="006B6A7C"/>
    <w:rsid w:val="006C6231"/>
    <w:rsid w:val="006D44E5"/>
    <w:rsid w:val="006E6370"/>
    <w:rsid w:val="006F0974"/>
    <w:rsid w:val="006F0CDF"/>
    <w:rsid w:val="00712AC4"/>
    <w:rsid w:val="00714CA1"/>
    <w:rsid w:val="00720D9A"/>
    <w:rsid w:val="00721B8C"/>
    <w:rsid w:val="00730C8E"/>
    <w:rsid w:val="007320AA"/>
    <w:rsid w:val="007323E8"/>
    <w:rsid w:val="00753A55"/>
    <w:rsid w:val="00756A86"/>
    <w:rsid w:val="00776AA3"/>
    <w:rsid w:val="00776CAB"/>
    <w:rsid w:val="00790355"/>
    <w:rsid w:val="00790D99"/>
    <w:rsid w:val="00793B20"/>
    <w:rsid w:val="007A4772"/>
    <w:rsid w:val="007A5C4C"/>
    <w:rsid w:val="007B0FBA"/>
    <w:rsid w:val="007B1C91"/>
    <w:rsid w:val="007B364A"/>
    <w:rsid w:val="007B3F5D"/>
    <w:rsid w:val="007B4D42"/>
    <w:rsid w:val="007B54CC"/>
    <w:rsid w:val="007C13F9"/>
    <w:rsid w:val="007C5394"/>
    <w:rsid w:val="007C5428"/>
    <w:rsid w:val="007C61B7"/>
    <w:rsid w:val="007D231A"/>
    <w:rsid w:val="007D4B64"/>
    <w:rsid w:val="007D4EED"/>
    <w:rsid w:val="007D75CF"/>
    <w:rsid w:val="007E0EA7"/>
    <w:rsid w:val="007E43FD"/>
    <w:rsid w:val="007F22C2"/>
    <w:rsid w:val="0080194F"/>
    <w:rsid w:val="00803159"/>
    <w:rsid w:val="00805248"/>
    <w:rsid w:val="00825ABD"/>
    <w:rsid w:val="00826682"/>
    <w:rsid w:val="00830048"/>
    <w:rsid w:val="00845660"/>
    <w:rsid w:val="0085179C"/>
    <w:rsid w:val="00851FCC"/>
    <w:rsid w:val="00896821"/>
    <w:rsid w:val="008A012C"/>
    <w:rsid w:val="008A4520"/>
    <w:rsid w:val="008A59EE"/>
    <w:rsid w:val="008A6208"/>
    <w:rsid w:val="008B1407"/>
    <w:rsid w:val="008B5CB1"/>
    <w:rsid w:val="008C36CC"/>
    <w:rsid w:val="008D64E1"/>
    <w:rsid w:val="008E674B"/>
    <w:rsid w:val="008F4E1D"/>
    <w:rsid w:val="008F6ABC"/>
    <w:rsid w:val="009114B8"/>
    <w:rsid w:val="00914D1A"/>
    <w:rsid w:val="00924B14"/>
    <w:rsid w:val="009277AE"/>
    <w:rsid w:val="00931AA6"/>
    <w:rsid w:val="00932308"/>
    <w:rsid w:val="00934B37"/>
    <w:rsid w:val="00940A76"/>
    <w:rsid w:val="00940B80"/>
    <w:rsid w:val="00942E3D"/>
    <w:rsid w:val="009475D6"/>
    <w:rsid w:val="00971985"/>
    <w:rsid w:val="00973D4D"/>
    <w:rsid w:val="00982577"/>
    <w:rsid w:val="009861C4"/>
    <w:rsid w:val="00995177"/>
    <w:rsid w:val="00995D6A"/>
    <w:rsid w:val="009A2AF1"/>
    <w:rsid w:val="009A30A2"/>
    <w:rsid w:val="009B1F3F"/>
    <w:rsid w:val="009B4AF0"/>
    <w:rsid w:val="009C29B5"/>
    <w:rsid w:val="009C74B9"/>
    <w:rsid w:val="009D30E3"/>
    <w:rsid w:val="009D6B04"/>
    <w:rsid w:val="009D6D1B"/>
    <w:rsid w:val="009E061D"/>
    <w:rsid w:val="009E2B16"/>
    <w:rsid w:val="009E3D30"/>
    <w:rsid w:val="009F57B8"/>
    <w:rsid w:val="009F64AC"/>
    <w:rsid w:val="00A04145"/>
    <w:rsid w:val="00A11DDA"/>
    <w:rsid w:val="00A13F84"/>
    <w:rsid w:val="00A22049"/>
    <w:rsid w:val="00A23C2A"/>
    <w:rsid w:val="00A3330D"/>
    <w:rsid w:val="00A33327"/>
    <w:rsid w:val="00A40B78"/>
    <w:rsid w:val="00A4515F"/>
    <w:rsid w:val="00A47BD6"/>
    <w:rsid w:val="00A521A6"/>
    <w:rsid w:val="00A5343C"/>
    <w:rsid w:val="00A558A2"/>
    <w:rsid w:val="00A60795"/>
    <w:rsid w:val="00A6517B"/>
    <w:rsid w:val="00A74CC8"/>
    <w:rsid w:val="00A769BE"/>
    <w:rsid w:val="00A81BC5"/>
    <w:rsid w:val="00A8534D"/>
    <w:rsid w:val="00A86755"/>
    <w:rsid w:val="00AA7D01"/>
    <w:rsid w:val="00AD1BA4"/>
    <w:rsid w:val="00AE1E8C"/>
    <w:rsid w:val="00AF7837"/>
    <w:rsid w:val="00AF79A6"/>
    <w:rsid w:val="00B01B8C"/>
    <w:rsid w:val="00B01C76"/>
    <w:rsid w:val="00B11F61"/>
    <w:rsid w:val="00B15E3A"/>
    <w:rsid w:val="00B167E5"/>
    <w:rsid w:val="00B37E12"/>
    <w:rsid w:val="00B4245D"/>
    <w:rsid w:val="00B465AA"/>
    <w:rsid w:val="00B53D3F"/>
    <w:rsid w:val="00B57879"/>
    <w:rsid w:val="00B57BD2"/>
    <w:rsid w:val="00B66D41"/>
    <w:rsid w:val="00B7257D"/>
    <w:rsid w:val="00B77417"/>
    <w:rsid w:val="00B82B13"/>
    <w:rsid w:val="00B93631"/>
    <w:rsid w:val="00B9469F"/>
    <w:rsid w:val="00BA4EEE"/>
    <w:rsid w:val="00BB77C4"/>
    <w:rsid w:val="00BD03AE"/>
    <w:rsid w:val="00BD23BB"/>
    <w:rsid w:val="00BD296B"/>
    <w:rsid w:val="00BD4E41"/>
    <w:rsid w:val="00BE20F2"/>
    <w:rsid w:val="00BE29FA"/>
    <w:rsid w:val="00BE6A1A"/>
    <w:rsid w:val="00BF24D5"/>
    <w:rsid w:val="00BF2FC7"/>
    <w:rsid w:val="00BF324D"/>
    <w:rsid w:val="00BF7105"/>
    <w:rsid w:val="00C02923"/>
    <w:rsid w:val="00C05518"/>
    <w:rsid w:val="00C10E0D"/>
    <w:rsid w:val="00C11B64"/>
    <w:rsid w:val="00C12571"/>
    <w:rsid w:val="00C27943"/>
    <w:rsid w:val="00C31DE6"/>
    <w:rsid w:val="00C33FF1"/>
    <w:rsid w:val="00C3491A"/>
    <w:rsid w:val="00C43657"/>
    <w:rsid w:val="00C45550"/>
    <w:rsid w:val="00C54589"/>
    <w:rsid w:val="00C55D56"/>
    <w:rsid w:val="00C6086E"/>
    <w:rsid w:val="00C66E15"/>
    <w:rsid w:val="00C9504F"/>
    <w:rsid w:val="00CB0EBA"/>
    <w:rsid w:val="00CB3327"/>
    <w:rsid w:val="00CD7CFF"/>
    <w:rsid w:val="00CE23F0"/>
    <w:rsid w:val="00CE3340"/>
    <w:rsid w:val="00CF078C"/>
    <w:rsid w:val="00CF382E"/>
    <w:rsid w:val="00CF58CC"/>
    <w:rsid w:val="00D03B93"/>
    <w:rsid w:val="00D31BC0"/>
    <w:rsid w:val="00D50327"/>
    <w:rsid w:val="00D51F23"/>
    <w:rsid w:val="00D525FC"/>
    <w:rsid w:val="00D52FD8"/>
    <w:rsid w:val="00D62A1F"/>
    <w:rsid w:val="00D65173"/>
    <w:rsid w:val="00D65C59"/>
    <w:rsid w:val="00D71F08"/>
    <w:rsid w:val="00D74F02"/>
    <w:rsid w:val="00D76F7B"/>
    <w:rsid w:val="00D8637A"/>
    <w:rsid w:val="00D936A7"/>
    <w:rsid w:val="00DA0226"/>
    <w:rsid w:val="00DA407F"/>
    <w:rsid w:val="00DA4D4F"/>
    <w:rsid w:val="00DE07BC"/>
    <w:rsid w:val="00DE1D64"/>
    <w:rsid w:val="00DE3512"/>
    <w:rsid w:val="00DE67A9"/>
    <w:rsid w:val="00DF2E18"/>
    <w:rsid w:val="00DF32B8"/>
    <w:rsid w:val="00DF35F4"/>
    <w:rsid w:val="00DF4CD3"/>
    <w:rsid w:val="00E06414"/>
    <w:rsid w:val="00E12EA2"/>
    <w:rsid w:val="00E26621"/>
    <w:rsid w:val="00E30152"/>
    <w:rsid w:val="00E30F5F"/>
    <w:rsid w:val="00E3543F"/>
    <w:rsid w:val="00E369E9"/>
    <w:rsid w:val="00E50122"/>
    <w:rsid w:val="00E507BD"/>
    <w:rsid w:val="00E50BCF"/>
    <w:rsid w:val="00E546E2"/>
    <w:rsid w:val="00E54DE7"/>
    <w:rsid w:val="00E5566A"/>
    <w:rsid w:val="00E6380F"/>
    <w:rsid w:val="00E63A7B"/>
    <w:rsid w:val="00E64F7D"/>
    <w:rsid w:val="00E75070"/>
    <w:rsid w:val="00E97A32"/>
    <w:rsid w:val="00E97B08"/>
    <w:rsid w:val="00EA07D1"/>
    <w:rsid w:val="00EA3099"/>
    <w:rsid w:val="00EA3F89"/>
    <w:rsid w:val="00EA61FE"/>
    <w:rsid w:val="00EB0E83"/>
    <w:rsid w:val="00EB289D"/>
    <w:rsid w:val="00ED2789"/>
    <w:rsid w:val="00ED5C56"/>
    <w:rsid w:val="00EE2BC4"/>
    <w:rsid w:val="00EE5C83"/>
    <w:rsid w:val="00EE6444"/>
    <w:rsid w:val="00EF4710"/>
    <w:rsid w:val="00EF5E51"/>
    <w:rsid w:val="00F0573B"/>
    <w:rsid w:val="00F10D94"/>
    <w:rsid w:val="00F13A32"/>
    <w:rsid w:val="00F30B88"/>
    <w:rsid w:val="00F32A14"/>
    <w:rsid w:val="00F3482F"/>
    <w:rsid w:val="00F34FEB"/>
    <w:rsid w:val="00F36EDC"/>
    <w:rsid w:val="00F37B1A"/>
    <w:rsid w:val="00F37C0B"/>
    <w:rsid w:val="00F41289"/>
    <w:rsid w:val="00F519FC"/>
    <w:rsid w:val="00F60B44"/>
    <w:rsid w:val="00F61C79"/>
    <w:rsid w:val="00F633B8"/>
    <w:rsid w:val="00F641E4"/>
    <w:rsid w:val="00F65FE4"/>
    <w:rsid w:val="00F83436"/>
    <w:rsid w:val="00F84873"/>
    <w:rsid w:val="00F85D9B"/>
    <w:rsid w:val="00F90D0F"/>
    <w:rsid w:val="00F931CE"/>
    <w:rsid w:val="00FA2200"/>
    <w:rsid w:val="00FA3AA9"/>
    <w:rsid w:val="00FA6B26"/>
    <w:rsid w:val="00FB539F"/>
    <w:rsid w:val="00FB5749"/>
    <w:rsid w:val="00FC6A70"/>
    <w:rsid w:val="00FD038F"/>
    <w:rsid w:val="00FD08CE"/>
    <w:rsid w:val="00FD6C2C"/>
    <w:rsid w:val="00FD7AE8"/>
    <w:rsid w:val="00FE6089"/>
    <w:rsid w:val="00FF1614"/>
    <w:rsid w:val="00FF67E4"/>
    <w:rsid w:val="05896C6C"/>
    <w:rsid w:val="590B3210"/>
    <w:rsid w:val="6C0E1B0C"/>
    <w:rsid w:val="74F521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9"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nhideWhenUsed="0"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link w:val="32"/>
    <w:qFormat/>
    <w:uiPriority w:val="0"/>
    <w:pPr>
      <w:keepNext/>
      <w:keepLines/>
      <w:pageBreakBefore/>
      <w:widowControl/>
      <w:numPr>
        <w:ilvl w:val="0"/>
        <w:numId w:val="1"/>
      </w:numPr>
      <w:overflowPunct w:val="0"/>
      <w:autoSpaceDE w:val="0"/>
      <w:autoSpaceDN w:val="0"/>
      <w:adjustRightInd w:val="0"/>
      <w:spacing w:before="142" w:after="113" w:line="360" w:lineRule="auto"/>
      <w:jc w:val="left"/>
      <w:textAlignment w:val="baseline"/>
      <w:outlineLvl w:val="0"/>
    </w:pPr>
    <w:rPr>
      <w:rFonts w:ascii="Arial" w:hAnsi="Arial" w:eastAsia="宋体"/>
      <w:b/>
      <w:kern w:val="28"/>
      <w:sz w:val="36"/>
      <w:szCs w:val="20"/>
      <w:lang w:val="zh-CN" w:eastAsia="en-US"/>
    </w:rPr>
  </w:style>
  <w:style w:type="paragraph" w:styleId="4">
    <w:name w:val="heading 2"/>
    <w:basedOn w:val="1"/>
    <w:next w:val="1"/>
    <w:link w:val="33"/>
    <w:qFormat/>
    <w:uiPriority w:val="9"/>
    <w:pPr>
      <w:keepNext/>
      <w:widowControl/>
      <w:numPr>
        <w:ilvl w:val="1"/>
        <w:numId w:val="1"/>
      </w:numPr>
      <w:overflowPunct w:val="0"/>
      <w:autoSpaceDE w:val="0"/>
      <w:autoSpaceDN w:val="0"/>
      <w:adjustRightInd w:val="0"/>
      <w:spacing w:before="425" w:after="113" w:line="360" w:lineRule="auto"/>
      <w:jc w:val="left"/>
      <w:textAlignment w:val="baseline"/>
      <w:outlineLvl w:val="1"/>
    </w:pPr>
    <w:rPr>
      <w:rFonts w:ascii="Arial" w:hAnsi="Arial" w:eastAsia="宋体"/>
      <w:b/>
      <w:kern w:val="0"/>
      <w:sz w:val="28"/>
      <w:szCs w:val="20"/>
      <w:lang w:val="zh-CN" w:eastAsia="en-US"/>
    </w:rPr>
  </w:style>
  <w:style w:type="paragraph" w:styleId="5">
    <w:name w:val="heading 3"/>
    <w:basedOn w:val="1"/>
    <w:next w:val="1"/>
    <w:link w:val="34"/>
    <w:qFormat/>
    <w:uiPriority w:val="9"/>
    <w:pPr>
      <w:keepNext/>
      <w:widowControl/>
      <w:numPr>
        <w:ilvl w:val="2"/>
        <w:numId w:val="1"/>
      </w:numPr>
      <w:overflowPunct w:val="0"/>
      <w:autoSpaceDE w:val="0"/>
      <w:autoSpaceDN w:val="0"/>
      <w:adjustRightInd w:val="0"/>
      <w:spacing w:before="425" w:after="113" w:line="360" w:lineRule="auto"/>
      <w:jc w:val="left"/>
      <w:textAlignment w:val="baseline"/>
      <w:outlineLvl w:val="2"/>
    </w:pPr>
    <w:rPr>
      <w:rFonts w:ascii="Arial" w:hAnsi="Arial" w:eastAsia="宋体"/>
      <w:b/>
      <w:i/>
      <w:kern w:val="0"/>
      <w:sz w:val="18"/>
      <w:szCs w:val="20"/>
      <w:lang w:val="zh-CN" w:eastAsia="en-US"/>
    </w:rPr>
  </w:style>
  <w:style w:type="paragraph" w:styleId="6">
    <w:name w:val="heading 4"/>
    <w:basedOn w:val="1"/>
    <w:next w:val="1"/>
    <w:link w:val="35"/>
    <w:qFormat/>
    <w:uiPriority w:val="9"/>
    <w:pPr>
      <w:keepNext/>
      <w:widowControl/>
      <w:numPr>
        <w:ilvl w:val="3"/>
        <w:numId w:val="1"/>
      </w:numPr>
      <w:overflowPunct w:val="0"/>
      <w:autoSpaceDE w:val="0"/>
      <w:autoSpaceDN w:val="0"/>
      <w:adjustRightInd w:val="0"/>
      <w:spacing w:before="240" w:after="60" w:line="360" w:lineRule="auto"/>
      <w:jc w:val="left"/>
      <w:textAlignment w:val="baseline"/>
      <w:outlineLvl w:val="3"/>
    </w:pPr>
    <w:rPr>
      <w:rFonts w:ascii="Arial" w:hAnsi="Arial" w:eastAsia="宋体"/>
      <w:b/>
      <w:iCs/>
      <w:kern w:val="0"/>
      <w:sz w:val="18"/>
      <w:szCs w:val="20"/>
      <w:lang w:val="zh-CN" w:eastAsia="en-US"/>
    </w:rPr>
  </w:style>
  <w:style w:type="paragraph" w:styleId="7">
    <w:name w:val="heading 5"/>
    <w:basedOn w:val="1"/>
    <w:next w:val="1"/>
    <w:link w:val="36"/>
    <w:qFormat/>
    <w:uiPriority w:val="0"/>
    <w:pPr>
      <w:widowControl/>
      <w:numPr>
        <w:ilvl w:val="4"/>
        <w:numId w:val="1"/>
      </w:numPr>
      <w:overflowPunct w:val="0"/>
      <w:autoSpaceDE w:val="0"/>
      <w:autoSpaceDN w:val="0"/>
      <w:adjustRightInd w:val="0"/>
      <w:spacing w:before="240" w:after="60" w:line="360" w:lineRule="auto"/>
      <w:jc w:val="left"/>
      <w:textAlignment w:val="baseline"/>
      <w:outlineLvl w:val="4"/>
    </w:pPr>
    <w:rPr>
      <w:rFonts w:ascii="Arial" w:hAnsi="Arial" w:eastAsia="宋体"/>
      <w:b/>
      <w:kern w:val="0"/>
      <w:sz w:val="18"/>
      <w:szCs w:val="20"/>
      <w:lang w:val="da-DK" w:eastAsia="en-US"/>
    </w:rPr>
  </w:style>
  <w:style w:type="paragraph" w:styleId="8">
    <w:name w:val="heading 6"/>
    <w:basedOn w:val="1"/>
    <w:next w:val="1"/>
    <w:link w:val="37"/>
    <w:qFormat/>
    <w:uiPriority w:val="0"/>
    <w:pPr>
      <w:widowControl/>
      <w:numPr>
        <w:ilvl w:val="5"/>
        <w:numId w:val="1"/>
      </w:numPr>
      <w:overflowPunct w:val="0"/>
      <w:autoSpaceDE w:val="0"/>
      <w:autoSpaceDN w:val="0"/>
      <w:adjustRightInd w:val="0"/>
      <w:spacing w:before="240" w:after="60" w:line="360" w:lineRule="auto"/>
      <w:jc w:val="left"/>
      <w:textAlignment w:val="baseline"/>
      <w:outlineLvl w:val="5"/>
    </w:pPr>
    <w:rPr>
      <w:rFonts w:ascii="Arial" w:hAnsi="Arial" w:eastAsia="宋体"/>
      <w:i/>
      <w:kern w:val="0"/>
      <w:sz w:val="22"/>
      <w:szCs w:val="20"/>
      <w:lang w:val="da-DK" w:eastAsia="en-US"/>
    </w:rPr>
  </w:style>
  <w:style w:type="paragraph" w:styleId="9">
    <w:name w:val="heading 7"/>
    <w:basedOn w:val="1"/>
    <w:next w:val="1"/>
    <w:link w:val="38"/>
    <w:qFormat/>
    <w:uiPriority w:val="9"/>
    <w:pPr>
      <w:widowControl/>
      <w:numPr>
        <w:ilvl w:val="6"/>
        <w:numId w:val="1"/>
      </w:numPr>
      <w:overflowPunct w:val="0"/>
      <w:autoSpaceDE w:val="0"/>
      <w:autoSpaceDN w:val="0"/>
      <w:adjustRightInd w:val="0"/>
      <w:spacing w:before="240" w:after="60" w:line="360" w:lineRule="auto"/>
      <w:jc w:val="left"/>
      <w:textAlignment w:val="baseline"/>
      <w:outlineLvl w:val="6"/>
    </w:pPr>
    <w:rPr>
      <w:rFonts w:ascii="Arial" w:hAnsi="Arial" w:eastAsia="宋体"/>
      <w:kern w:val="0"/>
      <w:sz w:val="18"/>
      <w:szCs w:val="20"/>
      <w:lang w:val="zh-CN" w:eastAsia="en-US"/>
    </w:rPr>
  </w:style>
  <w:style w:type="paragraph" w:styleId="10">
    <w:name w:val="heading 8"/>
    <w:basedOn w:val="1"/>
    <w:next w:val="1"/>
    <w:link w:val="39"/>
    <w:qFormat/>
    <w:uiPriority w:val="0"/>
    <w:pPr>
      <w:widowControl/>
      <w:numPr>
        <w:ilvl w:val="7"/>
        <w:numId w:val="1"/>
      </w:numPr>
      <w:overflowPunct w:val="0"/>
      <w:autoSpaceDE w:val="0"/>
      <w:autoSpaceDN w:val="0"/>
      <w:adjustRightInd w:val="0"/>
      <w:spacing w:before="240" w:after="60" w:line="360" w:lineRule="auto"/>
      <w:jc w:val="left"/>
      <w:textAlignment w:val="baseline"/>
      <w:outlineLvl w:val="7"/>
    </w:pPr>
    <w:rPr>
      <w:rFonts w:ascii="Arial" w:hAnsi="Arial" w:eastAsia="宋体"/>
      <w:i/>
      <w:kern w:val="0"/>
      <w:sz w:val="18"/>
      <w:szCs w:val="20"/>
      <w:lang w:val="zh-CN" w:eastAsia="en-US"/>
    </w:rPr>
  </w:style>
  <w:style w:type="paragraph" w:styleId="11">
    <w:name w:val="heading 9"/>
    <w:basedOn w:val="1"/>
    <w:next w:val="1"/>
    <w:link w:val="40"/>
    <w:qFormat/>
    <w:uiPriority w:val="0"/>
    <w:pPr>
      <w:widowControl/>
      <w:numPr>
        <w:ilvl w:val="8"/>
        <w:numId w:val="1"/>
      </w:numPr>
      <w:overflowPunct w:val="0"/>
      <w:autoSpaceDE w:val="0"/>
      <w:autoSpaceDN w:val="0"/>
      <w:adjustRightInd w:val="0"/>
      <w:spacing w:before="240" w:after="60" w:line="360" w:lineRule="auto"/>
      <w:jc w:val="left"/>
      <w:textAlignment w:val="baseline"/>
      <w:outlineLvl w:val="8"/>
    </w:pPr>
    <w:rPr>
      <w:rFonts w:ascii="Arial" w:hAnsi="Arial" w:eastAsia="宋体"/>
      <w:i/>
      <w:kern w:val="0"/>
      <w:sz w:val="18"/>
      <w:szCs w:val="20"/>
      <w:lang w:val="zh-CN" w:eastAsia="en-US"/>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0"/>
    <w:pPr>
      <w:spacing w:after="120"/>
    </w:pPr>
  </w:style>
  <w:style w:type="paragraph" w:styleId="12">
    <w:name w:val="caption"/>
    <w:basedOn w:val="1"/>
    <w:next w:val="1"/>
    <w:qFormat/>
    <w:uiPriority w:val="35"/>
    <w:pPr>
      <w:jc w:val="center"/>
    </w:pPr>
    <w:rPr>
      <w:rFonts w:ascii="Cambria" w:hAnsi="Cambria" w:eastAsia="黑体"/>
    </w:rPr>
  </w:style>
  <w:style w:type="paragraph" w:styleId="13">
    <w:name w:val="annotation text"/>
    <w:basedOn w:val="1"/>
    <w:link w:val="51"/>
    <w:semiHidden/>
    <w:unhideWhenUsed/>
    <w:qFormat/>
    <w:uiPriority w:val="99"/>
    <w:pPr>
      <w:jc w:val="left"/>
    </w:pPr>
  </w:style>
  <w:style w:type="paragraph" w:styleId="14">
    <w:name w:val="Body Text Indent"/>
    <w:basedOn w:val="1"/>
    <w:link w:val="29"/>
    <w:semiHidden/>
    <w:unhideWhenUsed/>
    <w:qFormat/>
    <w:uiPriority w:val="0"/>
    <w:pPr>
      <w:adjustRightInd w:val="0"/>
      <w:snapToGrid w:val="0"/>
      <w:spacing w:line="560" w:lineRule="exact"/>
      <w:ind w:firstLine="641"/>
    </w:pPr>
    <w:rPr>
      <w:rFonts w:ascii="仿宋_GB2312"/>
      <w:kern w:val="0"/>
      <w:sz w:val="30"/>
      <w:szCs w:val="20"/>
    </w:rPr>
  </w:style>
  <w:style w:type="paragraph" w:styleId="15">
    <w:name w:val="Balloon Text"/>
    <w:basedOn w:val="1"/>
    <w:link w:val="42"/>
    <w:semiHidden/>
    <w:unhideWhenUsed/>
    <w:qFormat/>
    <w:uiPriority w:val="99"/>
    <w:rPr>
      <w:sz w:val="18"/>
      <w:szCs w:val="18"/>
    </w:rPr>
  </w:style>
  <w:style w:type="paragraph" w:styleId="16">
    <w:name w:val="footer"/>
    <w:basedOn w:val="1"/>
    <w:link w:val="27"/>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7">
    <w:name w:val="header"/>
    <w:basedOn w:val="1"/>
    <w:link w:val="31"/>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HTML Preformatted"/>
    <w:basedOn w:val="1"/>
    <w:link w:val="4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hAnsi="宋体" w:eastAsia="宋体" w:cs="宋体"/>
      <w:kern w:val="0"/>
      <w:sz w:val="24"/>
    </w:rPr>
  </w:style>
  <w:style w:type="paragraph" w:styleId="19">
    <w:name w:val="annotation subject"/>
    <w:basedOn w:val="13"/>
    <w:next w:val="13"/>
    <w:link w:val="52"/>
    <w:semiHidden/>
    <w:unhideWhenUsed/>
    <w:qFormat/>
    <w:uiPriority w:val="99"/>
    <w:rPr>
      <w:b/>
      <w:bCs/>
    </w:rPr>
  </w:style>
  <w:style w:type="table" w:styleId="21">
    <w:name w:val="Table Grid"/>
    <w:basedOn w:val="20"/>
    <w:qFormat/>
    <w:uiPriority w:val="59"/>
    <w:rPr>
      <w:rFonts w:ascii="Calibri" w:hAnsi="Calibri"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semiHidden/>
    <w:unhideWhenUsed/>
    <w:qFormat/>
    <w:uiPriority w:val="0"/>
  </w:style>
  <w:style w:type="character" w:styleId="24">
    <w:name w:val="FollowedHyperlink"/>
    <w:basedOn w:val="22"/>
    <w:semiHidden/>
    <w:unhideWhenUsed/>
    <w:qFormat/>
    <w:uiPriority w:val="99"/>
    <w:rPr>
      <w:color w:val="800080"/>
      <w:u w:val="single"/>
    </w:rPr>
  </w:style>
  <w:style w:type="character" w:styleId="25">
    <w:name w:val="Hyperlink"/>
    <w:basedOn w:val="22"/>
    <w:semiHidden/>
    <w:unhideWhenUsed/>
    <w:qFormat/>
    <w:uiPriority w:val="99"/>
    <w:rPr>
      <w:color w:val="0000FF"/>
      <w:u w:val="single"/>
    </w:rPr>
  </w:style>
  <w:style w:type="character" w:styleId="26">
    <w:name w:val="annotation reference"/>
    <w:basedOn w:val="22"/>
    <w:semiHidden/>
    <w:unhideWhenUsed/>
    <w:qFormat/>
    <w:uiPriority w:val="99"/>
    <w:rPr>
      <w:sz w:val="21"/>
      <w:szCs w:val="21"/>
    </w:rPr>
  </w:style>
  <w:style w:type="character" w:customStyle="1" w:styleId="27">
    <w:name w:val="页脚 字符"/>
    <w:link w:val="16"/>
    <w:qFormat/>
    <w:uiPriority w:val="99"/>
    <w:rPr>
      <w:sz w:val="18"/>
      <w:szCs w:val="18"/>
    </w:rPr>
  </w:style>
  <w:style w:type="character" w:customStyle="1" w:styleId="28">
    <w:name w:val="页脚 Char"/>
    <w:basedOn w:val="22"/>
    <w:semiHidden/>
    <w:qFormat/>
    <w:uiPriority w:val="99"/>
    <w:rPr>
      <w:rFonts w:ascii="Times New Roman" w:hAnsi="Times New Roman" w:eastAsia="仿宋_GB2312" w:cs="Times New Roman"/>
      <w:sz w:val="18"/>
      <w:szCs w:val="18"/>
    </w:rPr>
  </w:style>
  <w:style w:type="character" w:customStyle="1" w:styleId="29">
    <w:name w:val="正文文本缩进 字符"/>
    <w:basedOn w:val="22"/>
    <w:link w:val="14"/>
    <w:semiHidden/>
    <w:qFormat/>
    <w:uiPriority w:val="0"/>
    <w:rPr>
      <w:rFonts w:ascii="仿宋_GB2312" w:hAnsi="Times New Roman" w:eastAsia="仿宋_GB2312" w:cs="Times New Roman"/>
      <w:kern w:val="0"/>
      <w:sz w:val="30"/>
      <w:szCs w:val="20"/>
    </w:rPr>
  </w:style>
  <w:style w:type="character" w:customStyle="1" w:styleId="30">
    <w:name w:val="页脚 Char1"/>
    <w:basedOn w:val="22"/>
    <w:semiHidden/>
    <w:qFormat/>
    <w:locked/>
    <w:uiPriority w:val="99"/>
    <w:rPr>
      <w:rFonts w:ascii="Times New Roman" w:hAnsi="Times New Roman" w:eastAsia="宋体" w:cs="Times New Roman"/>
      <w:sz w:val="18"/>
      <w:szCs w:val="18"/>
    </w:rPr>
  </w:style>
  <w:style w:type="character" w:customStyle="1" w:styleId="31">
    <w:name w:val="页眉 字符"/>
    <w:basedOn w:val="22"/>
    <w:link w:val="17"/>
    <w:qFormat/>
    <w:uiPriority w:val="99"/>
    <w:rPr>
      <w:rFonts w:ascii="Times New Roman" w:hAnsi="Times New Roman" w:eastAsia="仿宋_GB2312" w:cs="Times New Roman"/>
      <w:sz w:val="18"/>
      <w:szCs w:val="18"/>
    </w:rPr>
  </w:style>
  <w:style w:type="character" w:customStyle="1" w:styleId="32">
    <w:name w:val="标题 1 字符"/>
    <w:basedOn w:val="22"/>
    <w:link w:val="3"/>
    <w:qFormat/>
    <w:uiPriority w:val="0"/>
    <w:rPr>
      <w:rFonts w:ascii="Arial" w:hAnsi="Arial" w:eastAsia="宋体" w:cs="Times New Roman"/>
      <w:b/>
      <w:kern w:val="28"/>
      <w:sz w:val="36"/>
      <w:szCs w:val="20"/>
      <w:lang w:val="zh-CN" w:eastAsia="en-US"/>
    </w:rPr>
  </w:style>
  <w:style w:type="character" w:customStyle="1" w:styleId="33">
    <w:name w:val="标题 2 字符"/>
    <w:basedOn w:val="22"/>
    <w:link w:val="4"/>
    <w:qFormat/>
    <w:uiPriority w:val="9"/>
    <w:rPr>
      <w:rFonts w:ascii="Arial" w:hAnsi="Arial" w:eastAsia="宋体" w:cs="Times New Roman"/>
      <w:b/>
      <w:kern w:val="0"/>
      <w:sz w:val="28"/>
      <w:szCs w:val="20"/>
      <w:lang w:val="zh-CN" w:eastAsia="en-US"/>
    </w:rPr>
  </w:style>
  <w:style w:type="character" w:customStyle="1" w:styleId="34">
    <w:name w:val="标题 3 字符"/>
    <w:basedOn w:val="22"/>
    <w:link w:val="5"/>
    <w:qFormat/>
    <w:uiPriority w:val="9"/>
    <w:rPr>
      <w:rFonts w:ascii="Arial" w:hAnsi="Arial" w:eastAsia="宋体" w:cs="Times New Roman"/>
      <w:b/>
      <w:i/>
      <w:kern w:val="0"/>
      <w:sz w:val="18"/>
      <w:szCs w:val="20"/>
      <w:lang w:val="zh-CN" w:eastAsia="en-US"/>
    </w:rPr>
  </w:style>
  <w:style w:type="character" w:customStyle="1" w:styleId="35">
    <w:name w:val="标题 4 字符"/>
    <w:basedOn w:val="22"/>
    <w:link w:val="6"/>
    <w:qFormat/>
    <w:uiPriority w:val="9"/>
    <w:rPr>
      <w:rFonts w:ascii="Arial" w:hAnsi="Arial" w:eastAsia="宋体" w:cs="Times New Roman"/>
      <w:b/>
      <w:iCs/>
      <w:kern w:val="0"/>
      <w:sz w:val="18"/>
      <w:szCs w:val="20"/>
      <w:lang w:val="zh-CN" w:eastAsia="en-US"/>
    </w:rPr>
  </w:style>
  <w:style w:type="character" w:customStyle="1" w:styleId="36">
    <w:name w:val="标题 5 字符"/>
    <w:basedOn w:val="22"/>
    <w:link w:val="7"/>
    <w:qFormat/>
    <w:uiPriority w:val="0"/>
    <w:rPr>
      <w:rFonts w:ascii="Arial" w:hAnsi="Arial" w:eastAsia="宋体" w:cs="Times New Roman"/>
      <w:b/>
      <w:kern w:val="0"/>
      <w:sz w:val="18"/>
      <w:szCs w:val="20"/>
      <w:lang w:val="da-DK" w:eastAsia="en-US"/>
    </w:rPr>
  </w:style>
  <w:style w:type="character" w:customStyle="1" w:styleId="37">
    <w:name w:val="标题 6 字符"/>
    <w:basedOn w:val="22"/>
    <w:link w:val="8"/>
    <w:qFormat/>
    <w:uiPriority w:val="0"/>
    <w:rPr>
      <w:rFonts w:ascii="Arial" w:hAnsi="Arial" w:eastAsia="宋体" w:cs="Times New Roman"/>
      <w:i/>
      <w:kern w:val="0"/>
      <w:sz w:val="22"/>
      <w:szCs w:val="20"/>
      <w:lang w:val="da-DK" w:eastAsia="en-US"/>
    </w:rPr>
  </w:style>
  <w:style w:type="character" w:customStyle="1" w:styleId="38">
    <w:name w:val="标题 7 字符"/>
    <w:basedOn w:val="22"/>
    <w:link w:val="9"/>
    <w:qFormat/>
    <w:uiPriority w:val="9"/>
    <w:rPr>
      <w:rFonts w:ascii="Arial" w:hAnsi="Arial" w:eastAsia="宋体" w:cs="Times New Roman"/>
      <w:kern w:val="0"/>
      <w:sz w:val="18"/>
      <w:szCs w:val="20"/>
      <w:lang w:val="zh-CN" w:eastAsia="en-US"/>
    </w:rPr>
  </w:style>
  <w:style w:type="character" w:customStyle="1" w:styleId="39">
    <w:name w:val="标题 8 字符"/>
    <w:basedOn w:val="22"/>
    <w:link w:val="10"/>
    <w:qFormat/>
    <w:uiPriority w:val="0"/>
    <w:rPr>
      <w:rFonts w:ascii="Arial" w:hAnsi="Arial" w:eastAsia="宋体" w:cs="Times New Roman"/>
      <w:i/>
      <w:kern w:val="0"/>
      <w:sz w:val="18"/>
      <w:szCs w:val="20"/>
      <w:lang w:val="zh-CN" w:eastAsia="en-US"/>
    </w:rPr>
  </w:style>
  <w:style w:type="character" w:customStyle="1" w:styleId="40">
    <w:name w:val="标题 9 字符"/>
    <w:basedOn w:val="22"/>
    <w:link w:val="11"/>
    <w:qFormat/>
    <w:uiPriority w:val="0"/>
    <w:rPr>
      <w:rFonts w:ascii="Arial" w:hAnsi="Arial" w:eastAsia="宋体" w:cs="Times New Roman"/>
      <w:i/>
      <w:kern w:val="0"/>
      <w:sz w:val="18"/>
      <w:szCs w:val="20"/>
      <w:lang w:val="zh-CN" w:eastAsia="en-US"/>
    </w:rPr>
  </w:style>
  <w:style w:type="paragraph" w:styleId="41">
    <w:name w:val="List Paragraph"/>
    <w:basedOn w:val="1"/>
    <w:link w:val="55"/>
    <w:qFormat/>
    <w:uiPriority w:val="34"/>
    <w:pPr>
      <w:widowControl/>
      <w:spacing w:line="240" w:lineRule="atLeast"/>
      <w:ind w:firstLine="420" w:firstLineChars="200"/>
    </w:pPr>
    <w:rPr>
      <w:rFonts w:ascii="Arial" w:hAnsi="Arial" w:eastAsia="宋体"/>
      <w:kern w:val="0"/>
      <w:sz w:val="21"/>
      <w:szCs w:val="21"/>
    </w:rPr>
  </w:style>
  <w:style w:type="character" w:customStyle="1" w:styleId="42">
    <w:name w:val="批注框文本 字符"/>
    <w:basedOn w:val="22"/>
    <w:link w:val="15"/>
    <w:semiHidden/>
    <w:qFormat/>
    <w:uiPriority w:val="99"/>
    <w:rPr>
      <w:rFonts w:ascii="Times New Roman" w:hAnsi="Times New Roman" w:eastAsia="仿宋_GB2312" w:cs="Times New Roman"/>
      <w:sz w:val="18"/>
      <w:szCs w:val="18"/>
    </w:rPr>
  </w:style>
  <w:style w:type="character" w:customStyle="1" w:styleId="43">
    <w:name w:val="arrow"/>
    <w:qFormat/>
    <w:uiPriority w:val="0"/>
  </w:style>
  <w:style w:type="character" w:customStyle="1" w:styleId="44">
    <w:name w:val="HTML 预设格式 字符"/>
    <w:basedOn w:val="22"/>
    <w:link w:val="18"/>
    <w:qFormat/>
    <w:uiPriority w:val="99"/>
    <w:rPr>
      <w:rFonts w:ascii="宋体" w:hAnsi="宋体" w:eastAsia="宋体" w:cs="宋体"/>
      <w:kern w:val="0"/>
      <w:sz w:val="24"/>
      <w:szCs w:val="24"/>
    </w:rPr>
  </w:style>
  <w:style w:type="paragraph" w:customStyle="1" w:styleId="45">
    <w:name w:val="列表段落1"/>
    <w:basedOn w:val="1"/>
    <w:qFormat/>
    <w:uiPriority w:val="34"/>
  </w:style>
  <w:style w:type="character" w:customStyle="1" w:styleId="46">
    <w:name w:val="rb"/>
    <w:basedOn w:val="22"/>
    <w:qFormat/>
    <w:uiPriority w:val="0"/>
    <w:rPr>
      <w:b/>
      <w:bCs/>
      <w:color w:val="FF0000"/>
    </w:rPr>
  </w:style>
  <w:style w:type="character" w:customStyle="1" w:styleId="47">
    <w:name w:val="r"/>
    <w:basedOn w:val="22"/>
    <w:qFormat/>
    <w:uiPriority w:val="0"/>
    <w:rPr>
      <w:color w:val="FF0000"/>
    </w:rPr>
  </w:style>
  <w:style w:type="paragraph" w:customStyle="1" w:styleId="48">
    <w:name w:val="_Style 44"/>
    <w:basedOn w:val="1"/>
    <w:next w:val="1"/>
    <w:qFormat/>
    <w:uiPriority w:val="0"/>
    <w:pPr>
      <w:pBdr>
        <w:bottom w:val="single" w:color="auto" w:sz="6" w:space="1"/>
      </w:pBdr>
      <w:jc w:val="center"/>
    </w:pPr>
    <w:rPr>
      <w:rFonts w:ascii="Arial" w:eastAsia="宋体"/>
      <w:vanish/>
      <w:sz w:val="16"/>
    </w:rPr>
  </w:style>
  <w:style w:type="paragraph" w:customStyle="1" w:styleId="49">
    <w:name w:val="_Style 45"/>
    <w:basedOn w:val="1"/>
    <w:next w:val="1"/>
    <w:qFormat/>
    <w:uiPriority w:val="0"/>
    <w:pPr>
      <w:pBdr>
        <w:top w:val="single" w:color="auto" w:sz="6" w:space="1"/>
      </w:pBdr>
      <w:jc w:val="center"/>
    </w:pPr>
    <w:rPr>
      <w:rFonts w:ascii="Arial" w:eastAsia="宋体"/>
      <w:vanish/>
      <w:sz w:val="16"/>
    </w:rPr>
  </w:style>
  <w:style w:type="paragraph" w:customStyle="1" w:styleId="50">
    <w:name w:val="Revision"/>
    <w:hidden/>
    <w:unhideWhenUsed/>
    <w:qFormat/>
    <w:uiPriority w:val="99"/>
    <w:rPr>
      <w:rFonts w:ascii="Times New Roman" w:hAnsi="Times New Roman" w:eastAsia="仿宋_GB2312" w:cs="Times New Roman"/>
      <w:kern w:val="2"/>
      <w:sz w:val="32"/>
      <w:szCs w:val="24"/>
      <w:lang w:val="en-US" w:eastAsia="zh-CN" w:bidi="ar-SA"/>
    </w:rPr>
  </w:style>
  <w:style w:type="character" w:customStyle="1" w:styleId="51">
    <w:name w:val="批注文字 字符"/>
    <w:basedOn w:val="22"/>
    <w:link w:val="13"/>
    <w:semiHidden/>
    <w:qFormat/>
    <w:uiPriority w:val="99"/>
    <w:rPr>
      <w:rFonts w:eastAsia="仿宋_GB2312"/>
      <w:kern w:val="2"/>
      <w:sz w:val="32"/>
      <w:szCs w:val="24"/>
    </w:rPr>
  </w:style>
  <w:style w:type="character" w:customStyle="1" w:styleId="52">
    <w:name w:val="批注主题 字符"/>
    <w:basedOn w:val="51"/>
    <w:link w:val="19"/>
    <w:semiHidden/>
    <w:qFormat/>
    <w:uiPriority w:val="99"/>
    <w:rPr>
      <w:rFonts w:eastAsia="仿宋_GB2312"/>
      <w:b/>
      <w:bCs/>
      <w:kern w:val="2"/>
      <w:sz w:val="32"/>
      <w:szCs w:val="24"/>
    </w:rPr>
  </w:style>
  <w:style w:type="character" w:customStyle="1" w:styleId="53">
    <w:name w:val="font21"/>
    <w:basedOn w:val="22"/>
    <w:qFormat/>
    <w:uiPriority w:val="0"/>
    <w:rPr>
      <w:rFonts w:hint="default" w:ascii="Calibri" w:hAnsi="Calibri" w:cs="Calibri"/>
      <w:color w:val="000000"/>
      <w:sz w:val="22"/>
      <w:szCs w:val="22"/>
      <w:u w:val="none"/>
    </w:rPr>
  </w:style>
  <w:style w:type="character" w:customStyle="1" w:styleId="54">
    <w:name w:val="font01"/>
    <w:basedOn w:val="22"/>
    <w:uiPriority w:val="0"/>
    <w:rPr>
      <w:rFonts w:hint="eastAsia" w:ascii="宋体" w:hAnsi="宋体" w:eastAsia="宋体" w:cs="宋体"/>
      <w:color w:val="000000"/>
      <w:sz w:val="22"/>
      <w:szCs w:val="22"/>
      <w:u w:val="none"/>
    </w:rPr>
  </w:style>
  <w:style w:type="character" w:customStyle="1" w:styleId="55">
    <w:name w:val="列表段落 字符"/>
    <w:basedOn w:val="22"/>
    <w:link w:val="41"/>
    <w:qFormat/>
    <w:uiPriority w:val="34"/>
    <w:rPr>
      <w:rFonts w:ascii="Arial" w:hAnsi="Arial"/>
      <w:sz w:val="21"/>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DFFC68-B06B-4904-A45E-9FFDD6075BD7}">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12</Pages>
  <Words>922</Words>
  <Characters>5262</Characters>
  <Lines>43</Lines>
  <Paragraphs>12</Paragraphs>
  <TotalTime>2068</TotalTime>
  <ScaleCrop>false</ScaleCrop>
  <LinksUpToDate>false</LinksUpToDate>
  <CharactersWithSpaces>6172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2021-09-15T08:24:00Z</dcterms:created>
  <dc:creator>temp</dc:creator>
  <cp:lastModifiedBy>Administrator</cp:lastModifiedBy>
  <cp:lastPrinted>2024-07-10T08:04:00Z</cp:lastPrinted>
  <dcterms:modified xsi:type="dcterms:W3CDTF">2024-09-24T01:26:38Z</dcterms:modified>
  <cp:revision>345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0429B4F278A64A65AF54D5C921FFABAB</vt:lpwstr>
  </property>
</Properties>
</file>