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D127D">
      <w:pPr>
        <w:pStyle w:val="2"/>
        <w:keepNext/>
        <w:keepLines w:val="0"/>
        <w:pageBreakBefore w:val="0"/>
        <w:widowControl w:val="0"/>
        <w:kinsoku/>
        <w:wordWrap/>
        <w:overflowPunct/>
        <w:topLinePunct/>
        <w:autoSpaceDE w:val="0"/>
        <w:autoSpaceDN/>
        <w:bidi w:val="0"/>
        <w:adjustRightInd/>
        <w:snapToGrid/>
        <w:textAlignment w:val="auto"/>
        <w:rPr>
          <w:rFonts w:hint="eastAsia" w:ascii="仿宋" w:hAnsi="仿宋" w:eastAsia="仿宋" w:cs="仿宋"/>
          <w:lang w:val="en-US" w:eastAsia="zh-CN"/>
        </w:rPr>
      </w:pPr>
      <w:bookmarkStart w:id="0" w:name="_Toc23895"/>
      <w:r>
        <w:rPr>
          <w:rFonts w:hint="eastAsia" w:ascii="仿宋" w:hAnsi="仿宋" w:eastAsia="仿宋" w:cs="仿宋"/>
          <w:lang w:val="en-US" w:eastAsia="zh-CN"/>
        </w:rPr>
        <w:t>甘肃省森林消防总队2025-2027年度政府采购审计服务单位选取项目竞争性磋商公告</w:t>
      </w:r>
      <w:bookmarkEnd w:id="0"/>
      <w:bookmarkStart w:id="9" w:name="_GoBack"/>
      <w:bookmarkEnd w:id="9"/>
    </w:p>
    <w:p w14:paraId="682EBEF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Autospacing="0" w:after="0" w:afterAutospacing="0" w:line="500" w:lineRule="exact"/>
        <w:ind w:left="0" w:right="0" w:firstLine="480" w:firstLineChars="200"/>
        <w:jc w:val="both"/>
        <w:textAlignment w:val="auto"/>
        <w:rPr>
          <w:rFonts w:hint="eastAsia" w:ascii="仿宋" w:hAnsi="仿宋" w:eastAsia="仿宋" w:cs="仿宋"/>
          <w:snapToGrid/>
          <w:color w:val="auto"/>
          <w:kern w:val="0"/>
          <w:sz w:val="24"/>
          <w:szCs w:val="24"/>
          <w:lang w:val="en-US" w:eastAsia="en-US" w:bidi="ar-SA"/>
        </w:rPr>
      </w:pPr>
      <w:r>
        <w:rPr>
          <w:rFonts w:hint="eastAsia" w:ascii="仿宋" w:hAnsi="仿宋" w:eastAsia="仿宋" w:cs="仿宋"/>
          <w:snapToGrid/>
          <w:color w:val="auto"/>
          <w:kern w:val="0"/>
          <w:sz w:val="24"/>
          <w:szCs w:val="24"/>
          <w:lang w:val="en-US" w:eastAsia="zh-CN" w:bidi="ar"/>
        </w:rPr>
        <w:t>甘肃公航旅工程技术服务有限责任公司受甘肃省森林消防总队的委托,对“甘肃省森林消防总队2025-2027年度政府采购审计服务单位选取项目”以竞争性磋商形式进行采购，欢迎符合资格条件的投标人前来参加。</w:t>
      </w:r>
    </w:p>
    <w:p w14:paraId="02C5D55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firstLine="0" w:firstLineChars="0"/>
        <w:jc w:val="both"/>
        <w:textAlignment w:val="auto"/>
        <w:rPr>
          <w:rFonts w:hint="default" w:ascii="仿宋" w:hAnsi="仿宋" w:eastAsia="仿宋" w:cs="仿宋"/>
          <w:snapToGrid/>
          <w:color w:val="auto"/>
          <w:kern w:val="0"/>
          <w:sz w:val="24"/>
          <w:szCs w:val="24"/>
          <w:highlight w:val="none"/>
          <w:lang w:val="en-US" w:eastAsia="en-US" w:bidi="ar-SA"/>
        </w:rPr>
      </w:pPr>
      <w:r>
        <w:rPr>
          <w:rFonts w:hint="eastAsia" w:ascii="仿宋" w:hAnsi="仿宋" w:eastAsia="仿宋" w:cs="仿宋"/>
          <w:b/>
          <w:snapToGrid/>
          <w:color w:val="auto"/>
          <w:kern w:val="0"/>
          <w:sz w:val="24"/>
          <w:szCs w:val="24"/>
          <w:highlight w:val="none"/>
          <w:lang w:val="en-US" w:eastAsia="zh-CN" w:bidi="ar"/>
        </w:rPr>
        <w:t>一、项目编号：</w:t>
      </w:r>
      <w:r>
        <w:rPr>
          <w:rFonts w:hint="default" w:ascii="Times New Roman" w:hAnsi="Times New Roman" w:eastAsia="仿宋" w:cs="Times New Roman"/>
          <w:b w:val="0"/>
          <w:bCs/>
          <w:snapToGrid/>
          <w:color w:val="auto"/>
          <w:kern w:val="0"/>
          <w:sz w:val="24"/>
          <w:szCs w:val="24"/>
          <w:highlight w:val="none"/>
          <w:lang w:val="en-US" w:eastAsia="zh-CN" w:bidi="ar"/>
        </w:rPr>
        <w:t>GSSLXF-2025-520812-C006</w:t>
      </w:r>
    </w:p>
    <w:p w14:paraId="48A9E0C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Autospacing="0" w:after="0" w:afterAutospacing="0" w:line="500" w:lineRule="exact"/>
        <w:ind w:left="0" w:right="0" w:firstLine="0" w:firstLineChars="0"/>
        <w:jc w:val="both"/>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b/>
          <w:snapToGrid/>
          <w:color w:val="auto"/>
          <w:kern w:val="0"/>
          <w:sz w:val="24"/>
          <w:szCs w:val="24"/>
          <w:lang w:val="en-US" w:eastAsia="zh-CN" w:bidi="ar"/>
        </w:rPr>
        <w:t>二、项目名称：</w:t>
      </w:r>
      <w:r>
        <w:rPr>
          <w:rFonts w:hint="eastAsia" w:ascii="仿宋" w:hAnsi="仿宋" w:eastAsia="仿宋" w:cs="仿宋"/>
          <w:b w:val="0"/>
          <w:bCs/>
          <w:snapToGrid/>
          <w:color w:val="auto"/>
          <w:kern w:val="0"/>
          <w:sz w:val="24"/>
          <w:szCs w:val="24"/>
          <w:lang w:val="en-US" w:eastAsia="zh-CN" w:bidi="ar"/>
        </w:rPr>
        <w:t>甘肃省森林消防总队2025-2027年度政府采购审计服务单位选取项目</w:t>
      </w:r>
    </w:p>
    <w:p w14:paraId="1FD0A87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Autospacing="0" w:after="0" w:afterAutospacing="0" w:line="500" w:lineRule="exact"/>
        <w:ind w:left="0" w:right="0" w:firstLine="0" w:firstLineChars="0"/>
        <w:jc w:val="both"/>
        <w:textAlignment w:val="auto"/>
        <w:rPr>
          <w:rFonts w:hint="eastAsia" w:ascii="仿宋" w:hAnsi="仿宋" w:eastAsia="仿宋" w:cs="仿宋"/>
          <w:b/>
          <w:snapToGrid/>
          <w:color w:val="auto"/>
          <w:kern w:val="0"/>
          <w:sz w:val="24"/>
          <w:szCs w:val="24"/>
          <w:lang w:val="en-US" w:eastAsia="zh-CN" w:bidi="ar"/>
        </w:rPr>
      </w:pPr>
      <w:r>
        <w:rPr>
          <w:rFonts w:hint="eastAsia" w:ascii="仿宋" w:hAnsi="仿宋" w:eastAsia="仿宋" w:cs="仿宋"/>
          <w:b/>
          <w:snapToGrid/>
          <w:color w:val="auto"/>
          <w:kern w:val="0"/>
          <w:sz w:val="24"/>
          <w:szCs w:val="24"/>
          <w:lang w:val="en-US" w:eastAsia="zh-CN" w:bidi="ar"/>
        </w:rPr>
        <w:t>三、采购内容：</w:t>
      </w:r>
    </w:p>
    <w:p w14:paraId="2ADE063E">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b w:val="0"/>
          <w:bCs/>
          <w:color w:val="000000"/>
          <w:kern w:val="0"/>
          <w:sz w:val="24"/>
          <w:szCs w:val="24"/>
          <w:highlight w:val="none"/>
          <w:lang w:val="en-US" w:eastAsia="zh-CN" w:bidi="ar-SA"/>
        </w:rPr>
      </w:pPr>
      <w:r>
        <w:rPr>
          <w:rFonts w:hint="eastAsia" w:ascii="仿宋" w:hAnsi="仿宋" w:eastAsia="仿宋" w:cs="仿宋"/>
          <w:b w:val="0"/>
          <w:bCs/>
          <w:color w:val="000000"/>
          <w:kern w:val="0"/>
          <w:sz w:val="24"/>
          <w:szCs w:val="24"/>
          <w:highlight w:val="none"/>
          <w:lang w:val="en-US" w:eastAsia="zh-CN" w:bidi="ar-SA"/>
        </w:rPr>
        <w:t>采购预算：根据项目服务实际情况服务费据实结算</w:t>
      </w:r>
    </w:p>
    <w:p w14:paraId="1A780C84">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b w:val="0"/>
          <w:bCs/>
          <w:color w:val="000000"/>
          <w:kern w:val="0"/>
          <w:sz w:val="24"/>
          <w:szCs w:val="24"/>
          <w:highlight w:val="none"/>
          <w:lang w:val="en-US" w:eastAsia="zh-CN" w:bidi="ar-SA"/>
        </w:rPr>
      </w:pPr>
      <w:r>
        <w:rPr>
          <w:rFonts w:hint="eastAsia" w:ascii="仿宋" w:hAnsi="仿宋" w:eastAsia="仿宋" w:cs="仿宋"/>
          <w:b w:val="0"/>
          <w:bCs/>
          <w:color w:val="000000"/>
          <w:kern w:val="0"/>
          <w:sz w:val="24"/>
          <w:szCs w:val="24"/>
          <w:highlight w:val="none"/>
          <w:lang w:val="en-US" w:eastAsia="zh-CN" w:bidi="ar-SA"/>
        </w:rPr>
        <w:t>采购内容：</w:t>
      </w:r>
    </w:p>
    <w:tbl>
      <w:tblPr>
        <w:tblStyle w:val="7"/>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20"/>
        <w:gridCol w:w="1529"/>
        <w:gridCol w:w="2678"/>
        <w:gridCol w:w="2513"/>
        <w:gridCol w:w="1233"/>
      </w:tblGrid>
      <w:tr w14:paraId="45291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1120" w:type="dxa"/>
            <w:tcBorders>
              <w:tl2br w:val="nil"/>
              <w:tr2bl w:val="nil"/>
            </w:tcBorders>
            <w:noWrap w:val="0"/>
            <w:tcMar>
              <w:top w:w="10" w:type="dxa"/>
              <w:left w:w="10" w:type="dxa"/>
              <w:right w:w="10" w:type="dxa"/>
            </w:tcMar>
            <w:vAlign w:val="center"/>
          </w:tcPr>
          <w:p w14:paraId="4096F121">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序号</w:t>
            </w:r>
          </w:p>
        </w:tc>
        <w:tc>
          <w:tcPr>
            <w:tcW w:w="1529" w:type="dxa"/>
            <w:tcBorders>
              <w:tl2br w:val="nil"/>
              <w:tr2bl w:val="nil"/>
            </w:tcBorders>
            <w:noWrap w:val="0"/>
            <w:tcMar>
              <w:top w:w="10" w:type="dxa"/>
              <w:left w:w="10" w:type="dxa"/>
              <w:right w:w="10" w:type="dxa"/>
            </w:tcMar>
            <w:vAlign w:val="center"/>
          </w:tcPr>
          <w:p w14:paraId="729C4689">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招标内容</w:t>
            </w:r>
          </w:p>
        </w:tc>
        <w:tc>
          <w:tcPr>
            <w:tcW w:w="2678" w:type="dxa"/>
            <w:tcBorders>
              <w:tl2br w:val="nil"/>
              <w:tr2bl w:val="nil"/>
            </w:tcBorders>
            <w:noWrap w:val="0"/>
            <w:tcMar>
              <w:top w:w="10" w:type="dxa"/>
              <w:left w:w="10" w:type="dxa"/>
              <w:right w:w="10" w:type="dxa"/>
            </w:tcMar>
            <w:vAlign w:val="center"/>
          </w:tcPr>
          <w:p w14:paraId="15DBD8DF">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服务要求</w:t>
            </w:r>
          </w:p>
        </w:tc>
        <w:tc>
          <w:tcPr>
            <w:tcW w:w="2513" w:type="dxa"/>
            <w:tcBorders>
              <w:tl2br w:val="nil"/>
              <w:tr2bl w:val="nil"/>
            </w:tcBorders>
            <w:noWrap w:val="0"/>
            <w:tcMar>
              <w:top w:w="10" w:type="dxa"/>
              <w:left w:w="10" w:type="dxa"/>
              <w:right w:w="10" w:type="dxa"/>
            </w:tcMar>
            <w:vAlign w:val="center"/>
          </w:tcPr>
          <w:p w14:paraId="26B28FE0">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default"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服务期限</w:t>
            </w:r>
          </w:p>
        </w:tc>
        <w:tc>
          <w:tcPr>
            <w:tcW w:w="1233" w:type="dxa"/>
            <w:tcBorders>
              <w:tl2br w:val="nil"/>
              <w:tr2bl w:val="nil"/>
            </w:tcBorders>
            <w:noWrap w:val="0"/>
            <w:tcMar>
              <w:top w:w="10" w:type="dxa"/>
              <w:left w:w="10" w:type="dxa"/>
              <w:right w:w="10" w:type="dxa"/>
            </w:tcMar>
            <w:vAlign w:val="center"/>
          </w:tcPr>
          <w:p w14:paraId="1C3CE9F0">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00" w:lineRule="exact"/>
              <w:ind w:left="0" w:right="0"/>
              <w:jc w:val="center"/>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color w:val="000000"/>
                <w:kern w:val="0"/>
                <w:sz w:val="24"/>
                <w:szCs w:val="24"/>
                <w:highlight w:val="none"/>
                <w:u w:val="none"/>
                <w:lang w:val="en-US" w:eastAsia="zh-CN" w:bidi="ar"/>
              </w:rPr>
              <w:t>备注</w:t>
            </w:r>
          </w:p>
        </w:tc>
      </w:tr>
      <w:tr w14:paraId="42ECC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3" w:hRule="atLeast"/>
          <w:jc w:val="center"/>
        </w:trPr>
        <w:tc>
          <w:tcPr>
            <w:tcW w:w="1120" w:type="dxa"/>
            <w:tcBorders>
              <w:tl2br w:val="nil"/>
              <w:tr2bl w:val="nil"/>
            </w:tcBorders>
            <w:noWrap w:val="0"/>
            <w:tcMar>
              <w:top w:w="10" w:type="dxa"/>
              <w:left w:w="10" w:type="dxa"/>
              <w:right w:w="10" w:type="dxa"/>
            </w:tcMar>
            <w:vAlign w:val="center"/>
          </w:tcPr>
          <w:p w14:paraId="66D97D7D">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29" w:type="dxa"/>
            <w:tcBorders>
              <w:tl2br w:val="nil"/>
              <w:tr2bl w:val="nil"/>
            </w:tcBorders>
            <w:noWrap w:val="0"/>
            <w:tcMar>
              <w:top w:w="10" w:type="dxa"/>
              <w:left w:w="10" w:type="dxa"/>
              <w:right w:w="10" w:type="dxa"/>
            </w:tcMar>
            <w:vAlign w:val="center"/>
          </w:tcPr>
          <w:p w14:paraId="37A89946">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default" w:ascii="仿宋" w:hAnsi="仿宋" w:eastAsia="仿宋" w:cs="仿宋"/>
                <w:i w:val="0"/>
                <w:color w:val="000000"/>
                <w:sz w:val="24"/>
                <w:szCs w:val="24"/>
                <w:highlight w:val="none"/>
                <w:u w:val="none"/>
                <w:lang w:val="en-US" w:eastAsia="zh-CN"/>
              </w:rPr>
              <w:t>2025-2027年度政府采购审计服务</w:t>
            </w:r>
          </w:p>
        </w:tc>
        <w:tc>
          <w:tcPr>
            <w:tcW w:w="2678" w:type="dxa"/>
            <w:tcBorders>
              <w:tl2br w:val="nil"/>
              <w:tr2bl w:val="nil"/>
            </w:tcBorders>
            <w:noWrap w:val="0"/>
            <w:tcMar>
              <w:top w:w="10" w:type="dxa"/>
              <w:left w:w="10" w:type="dxa"/>
              <w:right w:w="10" w:type="dxa"/>
            </w:tcMar>
            <w:vAlign w:val="center"/>
          </w:tcPr>
          <w:p w14:paraId="46B352F1">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详见第五章磋商文件</w:t>
            </w:r>
          </w:p>
          <w:p w14:paraId="5698E26F">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center"/>
              <w:rPr>
                <w:rFonts w:hint="default"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采购需求</w:t>
            </w:r>
          </w:p>
        </w:tc>
        <w:tc>
          <w:tcPr>
            <w:tcW w:w="2513" w:type="dxa"/>
            <w:tcBorders>
              <w:tl2br w:val="nil"/>
              <w:tr2bl w:val="nil"/>
            </w:tcBorders>
            <w:noWrap w:val="0"/>
            <w:tcMar>
              <w:top w:w="10" w:type="dxa"/>
              <w:left w:w="10" w:type="dxa"/>
              <w:right w:w="10" w:type="dxa"/>
            </w:tcMar>
            <w:vAlign w:val="center"/>
          </w:tcPr>
          <w:p w14:paraId="50EC3754">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center"/>
              <w:rPr>
                <w:rFonts w:hint="default" w:ascii="仿宋" w:hAnsi="仿宋" w:eastAsia="仿宋" w:cs="仿宋"/>
                <w:i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 xml:space="preserve"> 本项目服务期3年</w:t>
            </w:r>
          </w:p>
        </w:tc>
        <w:tc>
          <w:tcPr>
            <w:tcW w:w="1233" w:type="dxa"/>
            <w:tcBorders>
              <w:tl2br w:val="nil"/>
              <w:tr2bl w:val="nil"/>
            </w:tcBorders>
            <w:noWrap w:val="0"/>
            <w:tcMar>
              <w:top w:w="10" w:type="dxa"/>
              <w:left w:w="10" w:type="dxa"/>
              <w:right w:w="10" w:type="dxa"/>
            </w:tcMar>
            <w:vAlign w:val="center"/>
          </w:tcPr>
          <w:p w14:paraId="6884CBD3">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bl>
    <w:p w14:paraId="4CDADA2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Autospacing="0" w:after="0" w:afterAutospacing="0" w:line="500" w:lineRule="exact"/>
        <w:ind w:left="0" w:right="0" w:firstLine="0" w:firstLineChars="0"/>
        <w:jc w:val="both"/>
        <w:textAlignment w:val="auto"/>
        <w:rPr>
          <w:rFonts w:hint="eastAsia" w:ascii="仿宋" w:hAnsi="仿宋" w:eastAsia="仿宋" w:cs="仿宋"/>
          <w:b/>
          <w:snapToGrid/>
          <w:color w:val="auto"/>
          <w:kern w:val="0"/>
          <w:sz w:val="24"/>
          <w:szCs w:val="24"/>
          <w:highlight w:val="none"/>
          <w:lang w:val="en-US" w:eastAsia="zh-CN" w:bidi="ar"/>
        </w:rPr>
      </w:pPr>
      <w:r>
        <w:rPr>
          <w:rFonts w:hint="eastAsia" w:ascii="仿宋" w:hAnsi="仿宋" w:eastAsia="仿宋" w:cs="仿宋"/>
          <w:b/>
          <w:snapToGrid/>
          <w:color w:val="auto"/>
          <w:kern w:val="0"/>
          <w:sz w:val="24"/>
          <w:szCs w:val="24"/>
          <w:highlight w:val="none"/>
          <w:lang w:val="en-US" w:eastAsia="zh-CN" w:bidi="ar"/>
        </w:rPr>
        <w:t>四、投标人资格要求：</w:t>
      </w:r>
    </w:p>
    <w:p w14:paraId="22AFD379">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bookmarkStart w:id="1" w:name="_Toc2129"/>
      <w:bookmarkStart w:id="2" w:name="_Toc1875"/>
      <w:bookmarkStart w:id="3" w:name="_Toc3024"/>
      <w:bookmarkStart w:id="4" w:name="_Toc13147"/>
      <w:bookmarkStart w:id="5" w:name="_Toc29916"/>
      <w:bookmarkStart w:id="6" w:name="_Toc22665"/>
      <w:bookmarkStart w:id="7" w:name="_Toc26138"/>
      <w:bookmarkStart w:id="8" w:name="_Toc12420"/>
      <w:r>
        <w:rPr>
          <w:rFonts w:hint="eastAsia" w:ascii="仿宋" w:hAnsi="仿宋" w:eastAsia="仿宋" w:cs="仿宋"/>
          <w:snapToGrid/>
          <w:color w:val="auto"/>
          <w:kern w:val="0"/>
          <w:sz w:val="24"/>
          <w:szCs w:val="24"/>
          <w:lang w:val="en-US" w:eastAsia="zh-CN" w:bidi="ar"/>
        </w:rPr>
        <w:t xml:space="preserve">1.营业执照：投标人有效的营业执照，或事业单位法人证书，或自然人身份证明，或其他非企业组织证明独立承担民事责任能力的文件。（原件彩色扫描件） </w:t>
      </w:r>
    </w:p>
    <w:p w14:paraId="4ED3FE48">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lang w:val="en-US" w:eastAsia="zh-CN" w:bidi="ar"/>
        </w:rPr>
        <w:t>2.财务状况：投标人提供投标截止日前18个月内经第三方审计的财务报告原件彩色扫描件，或财政部门认可的政府采购专业担保机构出具的投标担保函原件彩色扫描件，或银行出具的资信证明原件彩色扫描件。</w:t>
      </w:r>
      <w:r>
        <w:rPr>
          <w:rFonts w:hint="eastAsia" w:ascii="仿宋" w:hAnsi="仿宋" w:eastAsia="仿宋" w:cs="仿宋"/>
          <w:snapToGrid/>
          <w:color w:val="auto"/>
          <w:kern w:val="0"/>
          <w:sz w:val="24"/>
          <w:szCs w:val="24"/>
          <w:highlight w:val="none"/>
          <w:lang w:val="en-US" w:eastAsia="zh-CN" w:bidi="ar"/>
        </w:rPr>
        <w:t>（以出报告日期为准）财务报告须附可识别的二维码，若未附二维码、二维码无法识别或识别内容与财务报告内容不一致，均视为资格审查不通过。</w:t>
      </w:r>
    </w:p>
    <w:p w14:paraId="2AD3CCFF">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 xml:space="preserve">3.纳税证明：投标人需提供投标截止日前缴纳的6个月内任意一个月的增值税或企业所得税的凭据，依法免税的投标人，应提供相应的证明文件。（原件彩色扫描件） </w:t>
      </w:r>
    </w:p>
    <w:p w14:paraId="66193A53">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 xml:space="preserve">4.社保缴纳证明：社会保障资金缴纳记录（投标人逐月缴纳社会保障资金的，须提供投标截止日前6个月内至少一个月的缴纳社会保障资金的入账票据凭证原件彩色扫描件，投标人逐年缴纳社会保障资金的，须提供投标截止日前上年度缴纳社会保障资金的入账票据凭证原件彩色扫描件） </w:t>
      </w:r>
    </w:p>
    <w:p w14:paraId="5E62E1A1">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5.无重大违法记录声明：参加政府采购活动前3年内在经营活动中没有重大违法记录的书面声明（原件彩色扫描件）。（截至开标日成立不足3年的投标人可提供自成立以来无重大违法记录的书面声明）。</w:t>
      </w:r>
    </w:p>
    <w:p w14:paraId="7787FA8A">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lang w:val="en-US" w:eastAsia="zh-CN"/>
        </w:rPr>
      </w:pPr>
      <w:r>
        <w:rPr>
          <w:rFonts w:hint="eastAsia" w:ascii="仿宋" w:hAnsi="仿宋" w:eastAsia="仿宋" w:cs="仿宋"/>
          <w:snapToGrid/>
          <w:color w:val="auto"/>
          <w:kern w:val="0"/>
          <w:sz w:val="24"/>
          <w:szCs w:val="24"/>
          <w:lang w:val="en-US" w:eastAsia="zh-CN" w:bidi="ar"/>
        </w:rPr>
        <w:t>6.无行贿承诺书：投标人需提供近3年内无涉及行贿等重大违法案件的证明材料。（投标人需提供承诺书，格式自拟）</w:t>
      </w:r>
    </w:p>
    <w:p w14:paraId="340F7647">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 xml:space="preserve">7.法定代表人身份证明或法定代表人授权书：法定代表人身份证明（原件彩色扫描件）或法定代表人授权书（原件彩色扫描件） </w:t>
      </w:r>
    </w:p>
    <w:p w14:paraId="719E9A42">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jc w:val="both"/>
        <w:textAlignment w:val="auto"/>
        <w:rPr>
          <w:rFonts w:hint="eastAsia" w:ascii="仿宋" w:hAnsi="仿宋" w:eastAsia="仿宋" w:cs="仿宋"/>
          <w:snapToGrid/>
          <w:color w:val="auto"/>
          <w:kern w:val="0"/>
          <w:sz w:val="24"/>
          <w:szCs w:val="24"/>
          <w:highlight w:val="yellow"/>
          <w:lang w:val="en-US" w:eastAsia="zh-CN" w:bidi="ar"/>
        </w:rPr>
      </w:pPr>
      <w:r>
        <w:rPr>
          <w:rFonts w:hint="eastAsia" w:ascii="仿宋" w:hAnsi="仿宋" w:eastAsia="仿宋" w:cs="仿宋"/>
          <w:snapToGrid/>
          <w:color w:val="auto"/>
          <w:kern w:val="0"/>
          <w:sz w:val="24"/>
          <w:szCs w:val="24"/>
          <w:lang w:val="en-US" w:eastAsia="zh-CN" w:bidi="ar"/>
        </w:rPr>
        <w:t>8.信用记录：投标人未被列入“信用中国”网站(www.creditchina.gov.cn)记录失信被执行人或重大税收违法失信主体名单；不处于中国政府采购(www.ccgp.gov.cn)政府采购严重违法失信行为记录名单中的禁止参加政府采购活动期间的方可参加本项目的投标。</w:t>
      </w:r>
      <w:r>
        <w:rPr>
          <w:rFonts w:hint="eastAsia" w:ascii="仿宋" w:hAnsi="仿宋" w:eastAsia="仿宋" w:cs="仿宋"/>
          <w:snapToGrid/>
          <w:color w:val="auto"/>
          <w:kern w:val="0"/>
          <w:sz w:val="24"/>
          <w:szCs w:val="24"/>
          <w:highlight w:val="none"/>
          <w:lang w:val="en-US" w:eastAsia="zh-CN" w:bidi="ar"/>
        </w:rPr>
        <w:t xml:space="preserve">（以磋商公告发出之日起至磋商截止时间之日止在“信用中国”网站（www.creditchina.gov.cn）、中国政府采购网(www.ccgp.gov.cn)查询结果为准，如相关失信记录已失效，投标人需提供相关证明资料） </w:t>
      </w:r>
    </w:p>
    <w:p w14:paraId="56FB5E83">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jc w:val="both"/>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9.履行合同必需的设备和专业技术能力：投标人具有履行合同所必需的设备和专业技术能力。（须附书面声明）</w:t>
      </w:r>
    </w:p>
    <w:p w14:paraId="1AC7E06E">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lang w:val="en-US" w:eastAsia="zh-CN" w:bidi="ar"/>
        </w:rPr>
        <w:t xml:space="preserve">10.非联合体：本项目不接受联合体投标（提供非联合体投标声明函格式自拟，证明材料加盖投标人公章） </w:t>
      </w:r>
      <w:r>
        <w:rPr>
          <w:rFonts w:hint="eastAsia" w:ascii="仿宋" w:hAnsi="仿宋" w:eastAsia="仿宋" w:cs="仿宋"/>
          <w:snapToGrid/>
          <w:color w:val="auto"/>
          <w:kern w:val="0"/>
          <w:sz w:val="24"/>
          <w:szCs w:val="24"/>
          <w:highlight w:val="none"/>
          <w:lang w:val="en-US" w:eastAsia="zh-CN" w:bidi="ar"/>
        </w:rPr>
        <w:t xml:space="preserve"> </w:t>
      </w:r>
    </w:p>
    <w:p w14:paraId="0DE706E6">
      <w:pPr>
        <w:keepNext w:val="0"/>
        <w:keepLines w:val="0"/>
        <w:pageBreakBefore w:val="0"/>
        <w:widowControl/>
        <w:suppressLineNumbers w:val="0"/>
        <w:kinsoku/>
        <w:wordWrap/>
        <w:topLinePunct w:val="0"/>
        <w:bidi w:val="0"/>
        <w:snapToGrid/>
        <w:spacing w:line="500" w:lineRule="exact"/>
        <w:ind w:left="0"/>
        <w:jc w:val="left"/>
        <w:rPr>
          <w:highlight w:val="none"/>
        </w:rPr>
      </w:pPr>
      <w:r>
        <w:rPr>
          <w:rFonts w:hint="eastAsia" w:ascii="仿宋" w:hAnsi="仿宋" w:eastAsia="仿宋" w:cs="仿宋"/>
          <w:b/>
          <w:bCs/>
          <w:sz w:val="24"/>
          <w:szCs w:val="24"/>
          <w:highlight w:val="none"/>
          <w:lang w:val="en-US" w:eastAsia="zh-CN"/>
        </w:rPr>
        <w:t>五、</w:t>
      </w:r>
      <w:bookmarkEnd w:id="1"/>
      <w:bookmarkEnd w:id="2"/>
      <w:bookmarkEnd w:id="3"/>
      <w:bookmarkEnd w:id="4"/>
      <w:bookmarkEnd w:id="5"/>
      <w:bookmarkEnd w:id="6"/>
      <w:bookmarkEnd w:id="7"/>
      <w:bookmarkEnd w:id="8"/>
      <w:r>
        <w:rPr>
          <w:rFonts w:ascii="仿宋" w:hAnsi="仿宋" w:eastAsia="仿宋" w:cs="仿宋"/>
          <w:b/>
          <w:bCs/>
          <w:color w:val="000000"/>
          <w:kern w:val="0"/>
          <w:sz w:val="24"/>
          <w:szCs w:val="24"/>
          <w:highlight w:val="none"/>
          <w:lang w:val="en-US" w:eastAsia="zh-CN" w:bidi="ar"/>
        </w:rPr>
        <w:t>获取</w:t>
      </w:r>
      <w:r>
        <w:rPr>
          <w:rFonts w:hint="eastAsia" w:ascii="仿宋" w:hAnsi="仿宋" w:eastAsia="仿宋" w:cs="仿宋"/>
          <w:b/>
          <w:bCs/>
          <w:color w:val="000000"/>
          <w:kern w:val="0"/>
          <w:sz w:val="24"/>
          <w:szCs w:val="24"/>
          <w:highlight w:val="none"/>
          <w:lang w:val="en-US" w:eastAsia="zh-CN" w:bidi="ar"/>
        </w:rPr>
        <w:t>竞争性磋商文件</w:t>
      </w:r>
      <w:r>
        <w:rPr>
          <w:rFonts w:ascii="仿宋" w:hAnsi="仿宋" w:eastAsia="仿宋" w:cs="仿宋"/>
          <w:b/>
          <w:bCs/>
          <w:color w:val="000000"/>
          <w:kern w:val="0"/>
          <w:sz w:val="24"/>
          <w:szCs w:val="24"/>
          <w:highlight w:val="none"/>
          <w:lang w:val="en-US" w:eastAsia="zh-CN" w:bidi="ar"/>
        </w:rPr>
        <w:t xml:space="preserve">方式及地点 </w:t>
      </w:r>
    </w:p>
    <w:p w14:paraId="68E59B64">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0000FF"/>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1.获取时间：2</w:t>
      </w:r>
      <w:r>
        <w:rPr>
          <w:rFonts w:hint="eastAsia" w:ascii="仿宋" w:hAnsi="仿宋" w:eastAsia="仿宋" w:cs="仿宋"/>
          <w:snapToGrid/>
          <w:color w:val="auto"/>
          <w:kern w:val="0"/>
          <w:sz w:val="24"/>
          <w:szCs w:val="24"/>
          <w:highlight w:val="none"/>
          <w:u w:val="none"/>
          <w:lang w:val="en-US" w:eastAsia="zh-CN" w:bidi="ar"/>
        </w:rPr>
        <w:t>025年06月30日18:00至2025年07月07日 18：00（北京时间）；</w:t>
      </w:r>
      <w:r>
        <w:rPr>
          <w:rFonts w:hint="eastAsia" w:ascii="仿宋" w:hAnsi="仿宋" w:eastAsia="仿宋" w:cs="仿宋"/>
          <w:snapToGrid/>
          <w:color w:val="0000FF"/>
          <w:kern w:val="0"/>
          <w:sz w:val="24"/>
          <w:szCs w:val="24"/>
          <w:highlight w:val="none"/>
          <w:u w:val="none"/>
          <w:lang w:val="en-US" w:eastAsia="zh-CN" w:bidi="ar"/>
        </w:rPr>
        <w:t xml:space="preserve"> </w:t>
      </w:r>
    </w:p>
    <w:p w14:paraId="72089CE1">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 xml:space="preserve">2.获取地点：“公航旅电子交易中心”（http://jyxx.ghljyzx.cn:7081/#/home）在线获取； </w:t>
      </w:r>
    </w:p>
    <w:p w14:paraId="020DF014">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 xml:space="preserve">3.获取方式：潜在投标人可通过登录“公航旅电子交易中心”浏览公告，点击“我要投标”，根据提示，填写联系人及联系方式等信息；点击“进入工作台”，在“投标人首页”待办事项中，或“项目中心”、“我投标的项目”列表中打开本项目，在线下载竞争性磋商文件、相关签章、固化文件等工具； </w:t>
      </w:r>
    </w:p>
    <w:p w14:paraId="0B356C7F">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highlight w:val="none"/>
          <w:lang w:val="en-US" w:eastAsia="zh-CN" w:bidi="ar"/>
        </w:rPr>
      </w:pPr>
      <w:r>
        <w:rPr>
          <w:rFonts w:hint="eastAsia" w:ascii="仿宋" w:hAnsi="仿宋" w:eastAsia="仿宋" w:cs="仿宋"/>
          <w:snapToGrid/>
          <w:color w:val="auto"/>
          <w:kern w:val="0"/>
          <w:sz w:val="24"/>
          <w:szCs w:val="24"/>
          <w:highlight w:val="none"/>
          <w:lang w:val="en-US" w:eastAsia="zh-CN" w:bidi="ar"/>
        </w:rPr>
        <w:t>4.竞争性磋商文件售价：300元 ；</w:t>
      </w:r>
    </w:p>
    <w:p w14:paraId="127AFBB1">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 xml:space="preserve">注：①本项目的投标（响应）全过程均须在“公航旅电子交易中心”在线操作，投标人须自行于“公航旅电子交易中心”内注册，操作流程详见交易中心网站内“帮助中心”中“帮助文档（教程）”中《用户注册操作手册》、《投标业务操作手册》； </w:t>
      </w:r>
    </w:p>
    <w:p w14:paraId="7E16948B">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②投标人的电子响应文件制作完毕后，须按要求对电子响应文件进行电子签章，投标人须自行于“公航旅电子交易中心”在线申请办理CA锁，办理流程详见交易中心网站内“帮助中心”中“帮助文档（教程）”中《CA 锁申请办理操作手册》。</w:t>
      </w:r>
    </w:p>
    <w:p w14:paraId="3898BEC0">
      <w:pPr>
        <w:pStyle w:val="5"/>
        <w:keepNext w:val="0"/>
        <w:keepLines w:val="0"/>
        <w:pageBreakBefore w:val="0"/>
        <w:widowControl w:val="0"/>
        <w:suppressLineNumbers w:val="0"/>
        <w:kinsoku/>
        <w:wordWrap/>
        <w:topLinePunct w:val="0"/>
        <w:bidi w:val="0"/>
        <w:snapToGrid/>
        <w:spacing w:before="0" w:beforeAutospacing="0" w:after="0" w:afterAutospacing="0" w:line="500" w:lineRule="exact"/>
        <w:ind w:left="0" w:right="0"/>
        <w:jc w:val="left"/>
        <w:rPr>
          <w:rFonts w:hint="eastAsia" w:ascii="仿宋" w:hAnsi="仿宋" w:eastAsia="仿宋" w:cs="仿宋"/>
          <w:b/>
          <w:bCs/>
          <w:color w:val="auto"/>
          <w:sz w:val="24"/>
          <w:szCs w:val="24"/>
          <w:highlight w:val="none"/>
          <w:lang w:val="en-US" w:eastAsia="en-US" w:bidi="ar-SA"/>
        </w:rPr>
      </w:pPr>
      <w:r>
        <w:rPr>
          <w:rFonts w:hint="eastAsia" w:ascii="仿宋" w:hAnsi="仿宋" w:eastAsia="仿宋" w:cs="仿宋"/>
          <w:b/>
          <w:bCs/>
          <w:lang w:val="en-US" w:eastAsia="zh-CN"/>
        </w:rPr>
        <w:t>六、竞争性磋商响应文件</w:t>
      </w:r>
      <w:r>
        <w:rPr>
          <w:rFonts w:hint="eastAsia" w:ascii="仿宋" w:hAnsi="仿宋" w:eastAsia="仿宋" w:cs="仿宋"/>
          <w:b/>
          <w:bCs/>
          <w:lang w:val="en-US" w:eastAsia="en-US"/>
        </w:rPr>
        <w:t xml:space="preserve">递交截止时间及地点 </w:t>
      </w:r>
    </w:p>
    <w:p w14:paraId="5E8182DD">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1.响应文件递交截止时间：</w:t>
      </w:r>
      <w:r>
        <w:rPr>
          <w:rFonts w:hint="eastAsia" w:ascii="仿宋" w:hAnsi="仿宋" w:eastAsia="仿宋" w:cs="仿宋"/>
          <w:snapToGrid/>
          <w:color w:val="auto"/>
          <w:kern w:val="0"/>
          <w:sz w:val="24"/>
          <w:szCs w:val="24"/>
          <w:u w:val="none"/>
          <w:lang w:val="en-US" w:eastAsia="zh-CN" w:bidi="ar"/>
        </w:rPr>
        <w:t>2025年07月11日09时00分；</w:t>
      </w:r>
      <w:r>
        <w:rPr>
          <w:rFonts w:hint="eastAsia" w:ascii="仿宋" w:hAnsi="仿宋" w:eastAsia="仿宋" w:cs="仿宋"/>
          <w:snapToGrid/>
          <w:color w:val="auto"/>
          <w:kern w:val="0"/>
          <w:sz w:val="24"/>
          <w:szCs w:val="24"/>
          <w:lang w:val="en-US" w:eastAsia="zh-CN" w:bidi="ar"/>
        </w:rPr>
        <w:t xml:space="preserve"> </w:t>
      </w:r>
    </w:p>
    <w:p w14:paraId="0F0493E5">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2.上传 HASH 编码截止时间：</w:t>
      </w:r>
      <w:r>
        <w:rPr>
          <w:rFonts w:hint="eastAsia" w:ascii="仿宋" w:hAnsi="仿宋" w:eastAsia="仿宋" w:cs="仿宋"/>
          <w:snapToGrid/>
          <w:color w:val="auto"/>
          <w:kern w:val="0"/>
          <w:sz w:val="24"/>
          <w:szCs w:val="24"/>
          <w:u w:val="none"/>
          <w:lang w:val="en-US" w:eastAsia="zh-CN" w:bidi="ar"/>
        </w:rPr>
        <w:t>同响应文件递交截止时间；</w:t>
      </w:r>
    </w:p>
    <w:p w14:paraId="6C1736AF">
      <w:pPr>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0" w:firstLine="480" w:firstLineChars="200"/>
        <w:textAlignment w:val="auto"/>
        <w:rPr>
          <w:rFonts w:hint="eastAsia" w:ascii="仿宋" w:hAnsi="仿宋" w:eastAsia="仿宋" w:cs="仿宋"/>
          <w:snapToGrid/>
          <w:color w:val="auto"/>
          <w:kern w:val="0"/>
          <w:sz w:val="24"/>
          <w:szCs w:val="24"/>
          <w:lang w:val="en-US" w:eastAsia="zh-CN" w:bidi="ar"/>
        </w:rPr>
      </w:pPr>
      <w:r>
        <w:rPr>
          <w:rFonts w:hint="eastAsia" w:ascii="仿宋" w:hAnsi="仿宋" w:eastAsia="仿宋" w:cs="仿宋"/>
          <w:snapToGrid/>
          <w:color w:val="auto"/>
          <w:kern w:val="0"/>
          <w:sz w:val="24"/>
          <w:szCs w:val="24"/>
          <w:lang w:val="en-US" w:eastAsia="zh-CN" w:bidi="ar"/>
        </w:rPr>
        <w:t>3.响应地点：公航旅电子交易中心（线上不见面电子开标系统）。</w:t>
      </w:r>
    </w:p>
    <w:p w14:paraId="224C7A96">
      <w:pPr>
        <w:keepNext w:val="0"/>
        <w:keepLines w:val="0"/>
        <w:pageBreakBefore w:val="0"/>
        <w:kinsoku/>
        <w:wordWrap/>
        <w:topLinePunct w:val="0"/>
        <w:bidi w:val="0"/>
        <w:snapToGrid/>
        <w:spacing w:line="500" w:lineRule="exact"/>
        <w:ind w:left="0"/>
        <w:rPr>
          <w:rFonts w:hint="eastAsia" w:ascii="仿宋" w:hAnsi="仿宋" w:eastAsia="仿宋" w:cs="仿宋"/>
          <w:b/>
          <w:bCs/>
          <w:color w:val="auto"/>
          <w:szCs w:val="24"/>
          <w:highlight w:val="none"/>
          <w:lang w:val="en-US" w:eastAsia="en-US" w:bidi="ar-SA"/>
        </w:rPr>
      </w:pPr>
      <w:r>
        <w:rPr>
          <w:rFonts w:hint="eastAsia" w:ascii="仿宋" w:hAnsi="仿宋" w:eastAsia="仿宋" w:cs="仿宋"/>
          <w:b/>
          <w:bCs/>
          <w:sz w:val="24"/>
          <w:szCs w:val="24"/>
          <w:lang w:val="en-US" w:eastAsia="zh-CN"/>
        </w:rPr>
        <w:t>七、</w:t>
      </w:r>
      <w:r>
        <w:rPr>
          <w:rFonts w:hint="eastAsia" w:ascii="仿宋" w:hAnsi="仿宋" w:eastAsia="仿宋" w:cs="仿宋"/>
          <w:b/>
          <w:bCs/>
          <w:sz w:val="24"/>
          <w:szCs w:val="24"/>
          <w:lang w:val="en-US" w:eastAsia="en-US"/>
        </w:rPr>
        <w:t>发布公告的媒介</w:t>
      </w:r>
    </w:p>
    <w:tbl>
      <w:tblPr>
        <w:tblStyle w:val="7"/>
        <w:tblW w:w="854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2"/>
        <w:gridCol w:w="4715"/>
      </w:tblGrid>
      <w:tr w14:paraId="1CF73A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3832" w:type="dxa"/>
            <w:noWrap w:val="0"/>
            <w:vAlign w:val="center"/>
          </w:tcPr>
          <w:p w14:paraId="29FAD8A7">
            <w:pPr>
              <w:pStyle w:val="6"/>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媒介名称</w:t>
            </w:r>
          </w:p>
        </w:tc>
        <w:tc>
          <w:tcPr>
            <w:tcW w:w="4715" w:type="dxa"/>
            <w:noWrap w:val="0"/>
            <w:vAlign w:val="center"/>
          </w:tcPr>
          <w:p w14:paraId="60E916F1">
            <w:pPr>
              <w:pStyle w:val="6"/>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网址</w:t>
            </w:r>
          </w:p>
        </w:tc>
      </w:tr>
      <w:tr w14:paraId="499EEA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832" w:type="dxa"/>
            <w:noWrap w:val="0"/>
            <w:vAlign w:val="center"/>
          </w:tcPr>
          <w:p w14:paraId="2CF9821E">
            <w:pPr>
              <w:pStyle w:val="6"/>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color w:val="auto"/>
                <w:szCs w:val="24"/>
                <w:highlight w:val="none"/>
              </w:rPr>
            </w:pPr>
            <w:r>
              <w:rPr>
                <w:rFonts w:hint="eastAsia" w:ascii="仿宋" w:hAnsi="仿宋" w:eastAsia="仿宋" w:cs="仿宋"/>
                <w:color w:val="auto"/>
                <w:szCs w:val="24"/>
                <w:highlight w:val="none"/>
              </w:rPr>
              <w:t>公航旅电子交易中心网</w:t>
            </w:r>
          </w:p>
        </w:tc>
        <w:tc>
          <w:tcPr>
            <w:tcW w:w="4715" w:type="dxa"/>
            <w:noWrap w:val="0"/>
            <w:vAlign w:val="center"/>
          </w:tcPr>
          <w:p w14:paraId="57C7A5A0">
            <w:pPr>
              <w:pStyle w:val="6"/>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color w:val="auto"/>
                <w:szCs w:val="24"/>
                <w:highlight w:val="none"/>
              </w:rPr>
            </w:pPr>
            <w:r>
              <w:rPr>
                <w:rFonts w:hint="eastAsia" w:ascii="仿宋" w:hAnsi="仿宋" w:eastAsia="仿宋" w:cs="仿宋"/>
                <w:color w:val="auto"/>
                <w:szCs w:val="24"/>
                <w:highlight w:val="none"/>
              </w:rPr>
              <w:t>http://jyxx.ghljyzx.cn:7081/#/home</w:t>
            </w:r>
          </w:p>
        </w:tc>
      </w:tr>
      <w:tr w14:paraId="1BB6CB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832" w:type="dxa"/>
            <w:noWrap w:val="0"/>
            <w:vAlign w:val="center"/>
          </w:tcPr>
          <w:p w14:paraId="7DF9F70B">
            <w:pPr>
              <w:pStyle w:val="6"/>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中国政府采购网</w:t>
            </w:r>
          </w:p>
        </w:tc>
        <w:tc>
          <w:tcPr>
            <w:tcW w:w="4715" w:type="dxa"/>
            <w:noWrap w:val="0"/>
            <w:vAlign w:val="center"/>
          </w:tcPr>
          <w:p w14:paraId="0592CD8B">
            <w:pPr>
              <w:pStyle w:val="6"/>
              <w:keepNext w:val="0"/>
              <w:keepLines w:val="0"/>
              <w:pageBreakBefore w:val="0"/>
              <w:kinsoku/>
              <w:wordWrap/>
              <w:topLinePunct w:val="0"/>
              <w:bidi w:val="0"/>
              <w:snapToGrid/>
              <w:spacing w:before="0" w:after="0" w:line="500" w:lineRule="exact"/>
              <w:ind w:left="0" w:leftChars="0" w:firstLine="0" w:firstLineChars="0"/>
              <w:jc w:val="center"/>
              <w:rPr>
                <w:rFonts w:hint="eastAsia" w:ascii="仿宋" w:hAnsi="仿宋" w:eastAsia="仿宋" w:cs="仿宋"/>
                <w:color w:val="auto"/>
                <w:szCs w:val="24"/>
                <w:highlight w:val="none"/>
              </w:rPr>
            </w:pPr>
            <w:r>
              <w:rPr>
                <w:rFonts w:hint="eastAsia" w:ascii="仿宋" w:hAnsi="仿宋" w:eastAsia="仿宋" w:cs="仿宋"/>
                <w:color w:val="auto"/>
                <w:szCs w:val="24"/>
                <w:highlight w:val="none"/>
              </w:rPr>
              <w:t>http://www.ccgp.gov.cn/</w:t>
            </w:r>
          </w:p>
        </w:tc>
      </w:tr>
      <w:tr w14:paraId="2F493C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832" w:type="dxa"/>
            <w:shd w:val="clear" w:color="auto" w:fill="auto"/>
            <w:noWrap w:val="0"/>
            <w:vAlign w:val="center"/>
          </w:tcPr>
          <w:p w14:paraId="630727EF">
            <w:pPr>
              <w:pStyle w:val="6"/>
              <w:keepNext w:val="0"/>
              <w:keepLines w:val="0"/>
              <w:pageBreakBefore w:val="0"/>
              <w:kinsoku/>
              <w:wordWrap/>
              <w:topLinePunct w:val="0"/>
              <w:bidi w:val="0"/>
              <w:snapToGrid/>
              <w:spacing w:before="0" w:after="0" w:line="500" w:lineRule="exact"/>
              <w:ind w:left="0" w:firstLine="0" w:firstLineChars="0"/>
              <w:jc w:val="center"/>
              <w:rPr>
                <w:rFonts w:hint="eastAsia" w:ascii="仿宋" w:hAnsi="仿宋" w:eastAsia="仿宋" w:cs="仿宋"/>
                <w:snapToGrid w:val="0"/>
                <w:color w:val="auto"/>
                <w:kern w:val="2"/>
                <w:sz w:val="24"/>
                <w:szCs w:val="24"/>
                <w:highlight w:val="none"/>
                <w:lang w:val="en-US" w:eastAsia="en-US" w:bidi="ar-SA"/>
              </w:rPr>
            </w:pPr>
            <w:r>
              <w:rPr>
                <w:rFonts w:hint="eastAsia" w:ascii="仿宋" w:hAnsi="仿宋" w:eastAsia="仿宋" w:cs="仿宋"/>
                <w:szCs w:val="24"/>
                <w:highlight w:val="none"/>
              </w:rPr>
              <w:t>甘肃经济信息网</w:t>
            </w:r>
          </w:p>
        </w:tc>
        <w:tc>
          <w:tcPr>
            <w:tcW w:w="4715" w:type="dxa"/>
            <w:shd w:val="clear" w:color="auto" w:fill="auto"/>
            <w:noWrap w:val="0"/>
            <w:vAlign w:val="center"/>
          </w:tcPr>
          <w:p w14:paraId="03EB0296">
            <w:pPr>
              <w:pStyle w:val="6"/>
              <w:keepNext w:val="0"/>
              <w:keepLines w:val="0"/>
              <w:pageBreakBefore w:val="0"/>
              <w:kinsoku/>
              <w:wordWrap/>
              <w:topLinePunct w:val="0"/>
              <w:bidi w:val="0"/>
              <w:snapToGrid/>
              <w:spacing w:before="0" w:after="0" w:line="500" w:lineRule="exact"/>
              <w:ind w:left="0" w:leftChars="0" w:firstLine="0" w:firstLineChars="0"/>
              <w:jc w:val="center"/>
              <w:rPr>
                <w:rFonts w:hint="eastAsia" w:ascii="仿宋" w:hAnsi="仿宋" w:eastAsia="仿宋" w:cs="仿宋"/>
                <w:snapToGrid w:val="0"/>
                <w:color w:val="auto"/>
                <w:kern w:val="2"/>
                <w:sz w:val="24"/>
                <w:szCs w:val="24"/>
                <w:highlight w:val="none"/>
                <w:lang w:val="en-US" w:eastAsia="en-US" w:bidi="ar-SA"/>
              </w:rPr>
            </w:pPr>
            <w:r>
              <w:rPr>
                <w:rFonts w:hint="eastAsia" w:ascii="仿宋" w:hAnsi="仿宋" w:eastAsia="仿宋" w:cs="仿宋"/>
                <w:szCs w:val="24"/>
                <w:highlight w:val="none"/>
              </w:rPr>
              <w:t>https://www.gsei.com.cn</w:t>
            </w:r>
          </w:p>
        </w:tc>
      </w:tr>
    </w:tbl>
    <w:p w14:paraId="7D589EA4">
      <w:pPr>
        <w:keepNext w:val="0"/>
        <w:keepLines w:val="0"/>
        <w:pageBreakBefore w:val="0"/>
        <w:widowControl w:val="0"/>
        <w:kinsoku/>
        <w:wordWrap/>
        <w:overflowPunct/>
        <w:topLinePunct w:val="0"/>
        <w:autoSpaceDE/>
        <w:autoSpaceDN/>
        <w:bidi w:val="0"/>
        <w:adjustRightInd/>
        <w:snapToGrid/>
        <w:spacing w:after="0" w:line="500" w:lineRule="exact"/>
        <w:ind w:left="0"/>
        <w:jc w:val="both"/>
        <w:textAlignment w:val="auto"/>
        <w:rPr>
          <w:rFonts w:hint="eastAsia" w:ascii="仿宋" w:hAnsi="仿宋" w:eastAsia="仿宋" w:cs="仿宋"/>
          <w:b/>
          <w:bCs/>
          <w:color w:val="auto"/>
          <w:sz w:val="24"/>
          <w:szCs w:val="24"/>
          <w:highlight w:val="none"/>
          <w:lang w:val="en-US" w:eastAsia="zh-CN" w:bidi="ar-SA"/>
        </w:rPr>
      </w:pPr>
      <w:r>
        <w:rPr>
          <w:rFonts w:hint="eastAsia" w:ascii="仿宋" w:hAnsi="仿宋" w:eastAsia="仿宋" w:cs="仿宋"/>
          <w:b/>
          <w:bCs/>
          <w:color w:val="auto"/>
          <w:sz w:val="24"/>
          <w:szCs w:val="24"/>
          <w:highlight w:val="none"/>
          <w:lang w:val="en-US" w:eastAsia="zh-CN" w:bidi="ar-SA"/>
        </w:rPr>
        <w:t xml:space="preserve">八、联系方式 </w:t>
      </w:r>
    </w:p>
    <w:p w14:paraId="058E94C1">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lang w:val="en-US" w:eastAsia="zh-CN"/>
        </w:rPr>
        <w:t xml:space="preserve">采 购 </w:t>
      </w:r>
      <w:r>
        <w:rPr>
          <w:rFonts w:hint="eastAsia" w:ascii="仿宋" w:hAnsi="仿宋" w:eastAsia="仿宋" w:cs="仿宋"/>
          <w:kern w:val="0"/>
          <w:sz w:val="24"/>
          <w:szCs w:val="24"/>
          <w:highlight w:val="none"/>
        </w:rPr>
        <w:t>人：</w:t>
      </w:r>
      <w:r>
        <w:rPr>
          <w:rFonts w:hint="eastAsia" w:ascii="仿宋" w:hAnsi="仿宋" w:eastAsia="仿宋" w:cs="仿宋"/>
          <w:kern w:val="0"/>
          <w:sz w:val="24"/>
          <w:szCs w:val="24"/>
          <w:highlight w:val="none"/>
          <w:lang w:val="en-US" w:eastAsia="zh-CN"/>
        </w:rPr>
        <w:t xml:space="preserve">甘肃省森林消防总队  </w:t>
      </w:r>
    </w:p>
    <w:p w14:paraId="148D2908">
      <w:pPr>
        <w:keepNext w:val="0"/>
        <w:keepLines w:val="0"/>
        <w:pageBreakBefore w:val="0"/>
        <w:widowControl/>
        <w:kinsoku/>
        <w:wordWrap/>
        <w:overflowPunct/>
        <w:topLinePunct w:val="0"/>
        <w:autoSpaceDE/>
        <w:autoSpaceDN/>
        <w:bidi w:val="0"/>
        <w:adjustRightInd/>
        <w:snapToGrid/>
        <w:spacing w:line="500" w:lineRule="exact"/>
        <w:ind w:left="0" w:firstLine="480" w:firstLineChars="200"/>
        <w:jc w:val="left"/>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地</w:t>
      </w:r>
      <w:r>
        <w:rPr>
          <w:rFonts w:hint="eastAsia" w:ascii="仿宋" w:hAnsi="仿宋" w:eastAsia="仿宋" w:cs="仿宋"/>
          <w:kern w:val="0"/>
          <w:sz w:val="24"/>
          <w:szCs w:val="24"/>
          <w:highlight w:val="none"/>
        </w:rPr>
        <w:tab/>
      </w:r>
      <w:r>
        <w:rPr>
          <w:rFonts w:hint="eastAsia" w:ascii="仿宋" w:hAnsi="仿宋" w:eastAsia="仿宋" w:cs="仿宋"/>
          <w:kern w:val="0"/>
          <w:sz w:val="24"/>
          <w:szCs w:val="24"/>
          <w:highlight w:val="none"/>
          <w:lang w:val="en-US" w:eastAsia="zh-CN"/>
        </w:rPr>
        <w:t xml:space="preserve">   </w:t>
      </w:r>
      <w:r>
        <w:rPr>
          <w:rFonts w:hint="eastAsia" w:ascii="仿宋" w:hAnsi="仿宋" w:eastAsia="仿宋" w:cs="仿宋"/>
          <w:kern w:val="0"/>
          <w:sz w:val="24"/>
          <w:szCs w:val="24"/>
          <w:highlight w:val="none"/>
        </w:rPr>
        <w:t>址：</w:t>
      </w:r>
      <w:r>
        <w:rPr>
          <w:rFonts w:hint="eastAsia" w:ascii="仿宋" w:hAnsi="仿宋" w:eastAsia="仿宋" w:cs="仿宋"/>
          <w:kern w:val="0"/>
          <w:sz w:val="24"/>
          <w:szCs w:val="24"/>
          <w:highlight w:val="none"/>
          <w:lang w:val="en-US" w:eastAsia="zh-CN"/>
        </w:rPr>
        <w:t>甘肃省兰州市安宁区北滨河西路999号</w:t>
      </w:r>
    </w:p>
    <w:p w14:paraId="78AFF27A">
      <w:pPr>
        <w:keepNext w:val="0"/>
        <w:keepLines w:val="0"/>
        <w:pageBreakBefore w:val="0"/>
        <w:widowControl/>
        <w:kinsoku/>
        <w:wordWrap/>
        <w:overflowPunct/>
        <w:topLinePunct w:val="0"/>
        <w:autoSpaceDE/>
        <w:autoSpaceDN/>
        <w:bidi w:val="0"/>
        <w:adjustRightInd/>
        <w:snapToGrid/>
        <w:spacing w:line="500" w:lineRule="exact"/>
        <w:ind w:left="0" w:firstLine="480" w:firstLineChars="200"/>
        <w:jc w:val="left"/>
        <w:textAlignment w:val="auto"/>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联</w:t>
      </w:r>
      <w:r>
        <w:rPr>
          <w:rFonts w:hint="eastAsia" w:ascii="仿宋" w:hAnsi="仿宋" w:eastAsia="仿宋" w:cs="仿宋"/>
          <w:kern w:val="0"/>
          <w:sz w:val="24"/>
          <w:szCs w:val="24"/>
          <w:highlight w:val="none"/>
          <w:lang w:val="en-US" w:eastAsia="zh-CN"/>
        </w:rPr>
        <w:t xml:space="preserve"> </w:t>
      </w:r>
      <w:r>
        <w:rPr>
          <w:rFonts w:hint="eastAsia" w:ascii="仿宋" w:hAnsi="仿宋" w:eastAsia="仿宋" w:cs="仿宋"/>
          <w:kern w:val="0"/>
          <w:sz w:val="24"/>
          <w:szCs w:val="24"/>
          <w:highlight w:val="none"/>
        </w:rPr>
        <w:t>系</w:t>
      </w:r>
      <w:r>
        <w:rPr>
          <w:rFonts w:hint="eastAsia" w:ascii="仿宋" w:hAnsi="仿宋" w:eastAsia="仿宋" w:cs="仿宋"/>
          <w:kern w:val="0"/>
          <w:sz w:val="24"/>
          <w:szCs w:val="24"/>
          <w:highlight w:val="none"/>
          <w:lang w:val="en-US" w:eastAsia="zh-CN"/>
        </w:rPr>
        <w:t xml:space="preserve"> </w:t>
      </w:r>
      <w:r>
        <w:rPr>
          <w:rFonts w:hint="eastAsia" w:ascii="仿宋" w:hAnsi="仿宋" w:eastAsia="仿宋" w:cs="仿宋"/>
          <w:kern w:val="0"/>
          <w:sz w:val="24"/>
          <w:szCs w:val="24"/>
          <w:highlight w:val="none"/>
        </w:rPr>
        <w:t>人：</w:t>
      </w:r>
      <w:r>
        <w:rPr>
          <w:rFonts w:hint="eastAsia" w:ascii="仿宋" w:hAnsi="仿宋" w:eastAsia="仿宋" w:cs="仿宋"/>
          <w:kern w:val="0"/>
          <w:sz w:val="24"/>
          <w:szCs w:val="24"/>
          <w:highlight w:val="none"/>
          <w:lang w:val="en-US" w:eastAsia="zh-CN"/>
        </w:rPr>
        <w:t>徐助理</w:t>
      </w:r>
    </w:p>
    <w:p w14:paraId="50A467F2">
      <w:pPr>
        <w:keepNext w:val="0"/>
        <w:keepLines w:val="0"/>
        <w:pageBreakBefore w:val="0"/>
        <w:widowControl/>
        <w:kinsoku/>
        <w:wordWrap/>
        <w:overflowPunct/>
        <w:topLinePunct w:val="0"/>
        <w:autoSpaceDE/>
        <w:autoSpaceDN/>
        <w:bidi w:val="0"/>
        <w:adjustRightInd/>
        <w:snapToGrid/>
        <w:spacing w:line="500" w:lineRule="exact"/>
        <w:ind w:left="0" w:firstLine="480" w:firstLineChars="200"/>
        <w:jc w:val="left"/>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电    话：18139729873</w:t>
      </w:r>
    </w:p>
    <w:p w14:paraId="4420A1F3">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rPr>
        <w:t>代理机构：</w:t>
      </w:r>
      <w:r>
        <w:rPr>
          <w:rFonts w:hint="eastAsia" w:ascii="仿宋" w:hAnsi="仿宋" w:eastAsia="仿宋" w:cs="仿宋"/>
          <w:kern w:val="0"/>
          <w:sz w:val="24"/>
          <w:szCs w:val="24"/>
          <w:highlight w:val="none"/>
          <w:lang w:eastAsia="zh-CN"/>
        </w:rPr>
        <w:t>甘肃公航旅工程技术服务有限责任公司</w:t>
      </w:r>
    </w:p>
    <w:p w14:paraId="2B3EAB6D">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rPr>
        <w:t>地    址：</w:t>
      </w:r>
      <w:r>
        <w:rPr>
          <w:rFonts w:hint="eastAsia" w:ascii="仿宋" w:hAnsi="仿宋" w:eastAsia="仿宋" w:cs="仿宋"/>
          <w:kern w:val="0"/>
          <w:sz w:val="24"/>
          <w:szCs w:val="24"/>
          <w:highlight w:val="none"/>
          <w:lang w:eastAsia="zh-CN"/>
        </w:rPr>
        <w:t>甘肃省兰州市安宁区建宁东路108号公航旅大厦5楼</w:t>
      </w:r>
    </w:p>
    <w:p w14:paraId="1005ED19">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联 系 人：</w:t>
      </w:r>
      <w:r>
        <w:rPr>
          <w:rFonts w:hint="eastAsia" w:ascii="仿宋" w:hAnsi="仿宋" w:eastAsia="仿宋" w:cs="仿宋"/>
          <w:kern w:val="0"/>
          <w:sz w:val="24"/>
          <w:szCs w:val="24"/>
          <w:highlight w:val="none"/>
          <w:lang w:val="en-US" w:eastAsia="zh-CN"/>
        </w:rPr>
        <w:t>尹先生</w:t>
      </w:r>
    </w:p>
    <w:p w14:paraId="0ECEADFE">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电    话：</w:t>
      </w:r>
      <w:r>
        <w:rPr>
          <w:rFonts w:hint="eastAsia" w:ascii="仿宋" w:hAnsi="仿宋" w:eastAsia="仿宋" w:cs="仿宋"/>
          <w:kern w:val="0"/>
          <w:sz w:val="24"/>
          <w:szCs w:val="24"/>
          <w:highlight w:val="none"/>
          <w:lang w:val="en-US" w:eastAsia="zh-CN"/>
        </w:rPr>
        <w:t>15002681150</w:t>
      </w:r>
    </w:p>
    <w:p w14:paraId="61B8B174"/>
    <w:sectPr>
      <w:pgSz w:w="11906" w:h="16838"/>
      <w:pgMar w:top="1440" w:right="1349" w:bottom="1440" w:left="1349"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79548B"/>
    <w:rsid w:val="2D8E34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0"/>
    <w:pPr>
      <w:keepNext/>
      <w:keepLines/>
      <w:spacing w:beforeLines="0" w:beforeAutospacing="0" w:afterLines="0" w:afterAutospacing="0" w:line="360" w:lineRule="auto"/>
      <w:jc w:val="center"/>
      <w:outlineLvl w:val="0"/>
    </w:pPr>
    <w:rPr>
      <w:rFonts w:eastAsia="宋体" w:cs="Times New Roman" w:asciiTheme="minorAscii" w:hAnsiTheme="minorAscii"/>
      <w:b/>
      <w:kern w:val="44"/>
      <w:sz w:val="32"/>
      <w:szCs w:val="22"/>
      <w:lang w:eastAsia="en-US"/>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54"/>
      <w:ind w:left="120"/>
    </w:pPr>
    <w:rPr>
      <w:rFonts w:ascii="宋体" w:hAnsi="宋体" w:eastAsia="宋体"/>
      <w:sz w:val="24"/>
      <w:szCs w:val="24"/>
    </w:rPr>
  </w:style>
  <w:style w:type="paragraph" w:styleId="4">
    <w:name w:val="footer"/>
    <w:basedOn w:val="1"/>
    <w:qFormat/>
    <w:uiPriority w:val="0"/>
    <w:pPr>
      <w:tabs>
        <w:tab w:val="center" w:pos="4153"/>
        <w:tab w:val="right" w:pos="8306"/>
      </w:tabs>
      <w:snapToGrid w:val="0"/>
      <w:jc w:val="left"/>
    </w:pPr>
    <w:rPr>
      <w:sz w:val="18"/>
      <w:szCs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1798</Words>
  <Characters>2103</Characters>
  <Lines>0</Lines>
  <Paragraphs>0</Paragraphs>
  <TotalTime>0</TotalTime>
  <ScaleCrop>false</ScaleCrop>
  <LinksUpToDate>false</LinksUpToDate>
  <CharactersWithSpaces>2148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2025-06-30T08:31:00Z</dcterms:created>
  <dc:creator>Administrator</dc:creator>
  <cp:lastModifiedBy>七劍雪豹</cp:lastModifiedBy>
  <dcterms:modified xsi:type="dcterms:W3CDTF">2025-06-30T09:38:39Z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eyJoZGlkIjoiZDU5MjM2ZjY2Y2NkYjZmNTczNTUyN2U4ZmIyZGY1MmIiLCJ1c2VySWQiOiIzNDMzMTY5MzcifQ==</vt:lpwstr>
  </property>
  <property fmtid="{D5CDD505-2E9C-101B-9397-08002B2CF9AE}" pid="4" name="ICV">
    <vt:lpwstr>5048CF2B67684E0BBA5AD315C3463608_12</vt:lpwstr>
  </property>
</Properties>
</file>