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941324">
      <w:pPr>
        <w:pStyle w:val="3"/>
        <w:ind w:firstLine="643" w:firstLineChars="200"/>
      </w:pPr>
      <w:bookmarkStart w:id="0" w:name="_Toc18506"/>
      <w:r>
        <w:rPr>
          <w:rFonts w:hint="eastAsia"/>
        </w:rPr>
        <w:t>第三章 磋商内容</w:t>
      </w:r>
      <w:bookmarkEnd w:id="0"/>
    </w:p>
    <w:p w14:paraId="409E09AF">
      <w:pPr>
        <w:spacing w:line="360" w:lineRule="auto"/>
        <w:ind w:firstLine="482" w:firstLineChars="200"/>
        <w:rPr>
          <w:rFonts w:ascii="仿宋" w:hAnsi="仿宋" w:cs="仿宋"/>
        </w:rPr>
      </w:pPr>
      <w:r>
        <w:rPr>
          <w:rFonts w:hint="eastAsia" w:ascii="仿宋" w:hAnsi="仿宋" w:cs="仿宋"/>
          <w:b/>
          <w:bCs/>
        </w:rPr>
        <w:t>一、项目名称</w:t>
      </w:r>
      <w:r>
        <w:rPr>
          <w:rFonts w:hint="eastAsia" w:ascii="仿宋" w:hAnsi="仿宋" w:cs="仿宋"/>
        </w:rPr>
        <w:t>：酒泉职业技术大学自助洗衣机服务项目</w:t>
      </w:r>
    </w:p>
    <w:p w14:paraId="4C66DEC8">
      <w:pPr>
        <w:spacing w:line="360" w:lineRule="auto"/>
        <w:ind w:firstLine="482" w:firstLineChars="200"/>
        <w:rPr>
          <w:rFonts w:ascii="仿宋" w:hAnsi="仿宋" w:cs="仿宋"/>
        </w:rPr>
      </w:pPr>
      <w:r>
        <w:rPr>
          <w:rFonts w:hint="eastAsia" w:ascii="仿宋" w:hAnsi="仿宋" w:cs="仿宋"/>
          <w:b/>
          <w:bCs/>
        </w:rPr>
        <w:t>二、</w:t>
      </w:r>
      <w:r>
        <w:rPr>
          <w:rFonts w:hint="eastAsia" w:ascii="仿宋" w:hAnsi="仿宋" w:cs="仿宋"/>
          <w:b/>
          <w:kern w:val="0"/>
          <w:lang w:bidi="ar"/>
        </w:rPr>
        <w:t>磋商</w:t>
      </w:r>
      <w:r>
        <w:rPr>
          <w:rFonts w:hint="eastAsia" w:ascii="仿宋" w:hAnsi="仿宋" w:cs="仿宋"/>
          <w:b/>
          <w:bCs/>
        </w:rPr>
        <w:t>范围：</w:t>
      </w:r>
      <w:r>
        <w:rPr>
          <w:rFonts w:hint="eastAsia" w:ascii="仿宋" w:hAnsi="仿宋" w:cs="仿宋"/>
          <w:kern w:val="0"/>
        </w:rPr>
        <w:t>对酒泉职业技术大学自助洗衣机服务项目进行竞争性磋商，具体内容详见《竞争性磋商文件》第三章采购内容。</w:t>
      </w:r>
    </w:p>
    <w:p w14:paraId="3D72DB0A">
      <w:pPr>
        <w:spacing w:line="360" w:lineRule="auto"/>
        <w:ind w:firstLine="482" w:firstLineChars="200"/>
        <w:jc w:val="both"/>
        <w:rPr>
          <w:rFonts w:ascii="仿宋" w:hAnsi="仿宋" w:cs="仿宋"/>
          <w:b/>
        </w:rPr>
      </w:pPr>
      <w:r>
        <w:rPr>
          <w:rFonts w:hint="eastAsia" w:ascii="仿宋" w:hAnsi="仿宋" w:cs="仿宋"/>
          <w:b/>
        </w:rPr>
        <w:t>三、磋商内容</w:t>
      </w:r>
    </w:p>
    <w:p w14:paraId="1AD8B0F2">
      <w:pPr>
        <w:spacing w:line="360" w:lineRule="auto"/>
        <w:ind w:firstLine="482" w:firstLineChars="200"/>
        <w:jc w:val="both"/>
        <w:rPr>
          <w:rFonts w:ascii="仿宋" w:hAnsi="仿宋" w:cs="仿宋"/>
          <w:b/>
        </w:rPr>
      </w:pPr>
      <w:r>
        <w:rPr>
          <w:rFonts w:hint="eastAsia" w:ascii="仿宋" w:hAnsi="仿宋" w:cs="仿宋"/>
          <w:b/>
        </w:rPr>
        <w:t>（一）目的和意义</w:t>
      </w:r>
    </w:p>
    <w:p w14:paraId="25FABD06">
      <w:pPr>
        <w:spacing w:line="360" w:lineRule="auto"/>
        <w:ind w:firstLine="480" w:firstLineChars="200"/>
        <w:jc w:val="both"/>
        <w:rPr>
          <w:rFonts w:ascii="仿宋" w:hAnsi="仿宋" w:cs="仿宋"/>
          <w:bCs/>
        </w:rPr>
      </w:pPr>
      <w:r>
        <w:rPr>
          <w:rFonts w:hint="eastAsia" w:ascii="仿宋" w:hAnsi="仿宋" w:cs="仿宋"/>
          <w:bCs/>
        </w:rPr>
        <w:t>1.解决学生洗衣硬性需求。</w:t>
      </w:r>
    </w:p>
    <w:p w14:paraId="32614002">
      <w:pPr>
        <w:spacing w:line="360" w:lineRule="auto"/>
        <w:ind w:firstLine="480" w:firstLineChars="200"/>
        <w:jc w:val="both"/>
        <w:rPr>
          <w:rFonts w:ascii="仿宋" w:hAnsi="仿宋" w:cs="仿宋"/>
          <w:bCs/>
        </w:rPr>
      </w:pPr>
      <w:r>
        <w:rPr>
          <w:rFonts w:hint="eastAsia" w:ascii="仿宋" w:hAnsi="仿宋" w:cs="仿宋"/>
          <w:bCs/>
        </w:rPr>
        <w:t>2.提升校园生活的便利性。</w:t>
      </w:r>
    </w:p>
    <w:p w14:paraId="0C1D295D">
      <w:pPr>
        <w:spacing w:line="360" w:lineRule="auto"/>
        <w:ind w:firstLine="480" w:firstLineChars="200"/>
        <w:jc w:val="both"/>
        <w:rPr>
          <w:rFonts w:ascii="仿宋" w:hAnsi="仿宋" w:cs="仿宋"/>
          <w:bCs/>
        </w:rPr>
      </w:pPr>
      <w:r>
        <w:rPr>
          <w:rFonts w:hint="eastAsia" w:ascii="仿宋" w:hAnsi="仿宋" w:cs="仿宋"/>
          <w:bCs/>
        </w:rPr>
        <w:t>3.优化校园资源配置，集中管理洗衣机。</w:t>
      </w:r>
    </w:p>
    <w:p w14:paraId="359BF40E">
      <w:pPr>
        <w:spacing w:line="360" w:lineRule="auto"/>
        <w:ind w:firstLine="480" w:firstLineChars="200"/>
        <w:jc w:val="both"/>
        <w:rPr>
          <w:rFonts w:ascii="仿宋" w:hAnsi="仿宋" w:cs="仿宋"/>
          <w:bCs/>
        </w:rPr>
      </w:pPr>
      <w:r>
        <w:rPr>
          <w:rFonts w:hint="eastAsia" w:ascii="仿宋" w:hAnsi="仿宋" w:cs="仿宋"/>
          <w:bCs/>
        </w:rPr>
        <w:t>4.推动智慧校园建设。</w:t>
      </w:r>
    </w:p>
    <w:p w14:paraId="33BD839A">
      <w:pPr>
        <w:spacing w:line="360" w:lineRule="auto"/>
        <w:ind w:firstLine="482" w:firstLineChars="200"/>
        <w:jc w:val="both"/>
        <w:rPr>
          <w:rFonts w:ascii="仿宋" w:hAnsi="仿宋" w:cs="仿宋"/>
          <w:b/>
        </w:rPr>
      </w:pPr>
      <w:r>
        <w:rPr>
          <w:rFonts w:hint="eastAsia" w:ascii="仿宋" w:hAnsi="仿宋" w:cs="仿宋"/>
          <w:b/>
        </w:rPr>
        <w:t>（二）自助洗衣机服务项目地址</w:t>
      </w:r>
    </w:p>
    <w:p w14:paraId="41E30393">
      <w:pPr>
        <w:spacing w:line="360" w:lineRule="auto"/>
        <w:ind w:firstLine="480" w:firstLineChars="200"/>
        <w:jc w:val="both"/>
        <w:rPr>
          <w:rFonts w:ascii="仿宋" w:hAnsi="仿宋" w:cs="仿宋"/>
          <w:bCs/>
        </w:rPr>
      </w:pPr>
      <w:r>
        <w:rPr>
          <w:rFonts w:hint="eastAsia" w:ascii="仿宋" w:hAnsi="仿宋" w:cs="仿宋"/>
          <w:bCs/>
        </w:rPr>
        <w:t>1.自助洗衣机位于酒泉职业技术大学男女生公寓：其中友声阁</w:t>
      </w:r>
      <w:r>
        <w:rPr>
          <w:rFonts w:hint="eastAsia" w:ascii="仿宋" w:hAnsi="仿宋" w:cs="仿宋"/>
          <w:bCs/>
          <w:u w:val="single"/>
        </w:rPr>
        <w:t>7</w:t>
      </w:r>
      <w:r>
        <w:rPr>
          <w:rFonts w:hint="eastAsia" w:ascii="仿宋" w:hAnsi="仿宋" w:cs="仿宋"/>
          <w:bCs/>
        </w:rPr>
        <w:t>台、乐群阁</w:t>
      </w:r>
      <w:r>
        <w:rPr>
          <w:rFonts w:hint="eastAsia" w:ascii="仿宋" w:hAnsi="仿宋" w:cs="仿宋"/>
          <w:bCs/>
          <w:u w:val="single"/>
        </w:rPr>
        <w:t>6</w:t>
      </w:r>
      <w:r>
        <w:rPr>
          <w:rFonts w:hint="eastAsia" w:ascii="仿宋" w:hAnsi="仿宋" w:cs="仿宋"/>
          <w:bCs/>
        </w:rPr>
        <w:t>台、思齐阁</w:t>
      </w:r>
      <w:r>
        <w:rPr>
          <w:rFonts w:hint="eastAsia" w:ascii="仿宋" w:hAnsi="仿宋" w:cs="仿宋"/>
          <w:bCs/>
          <w:u w:val="single"/>
        </w:rPr>
        <w:t>6</w:t>
      </w:r>
      <w:r>
        <w:rPr>
          <w:rFonts w:hint="eastAsia" w:ascii="仿宋" w:hAnsi="仿宋" w:cs="仿宋"/>
          <w:bCs/>
        </w:rPr>
        <w:t>台、乐天阁</w:t>
      </w:r>
      <w:r>
        <w:rPr>
          <w:rFonts w:hint="eastAsia" w:ascii="仿宋" w:hAnsi="仿宋" w:cs="仿宋"/>
          <w:bCs/>
          <w:u w:val="single"/>
        </w:rPr>
        <w:t>13</w:t>
      </w:r>
      <w:r>
        <w:rPr>
          <w:rFonts w:hint="eastAsia" w:ascii="仿宋" w:hAnsi="仿宋" w:cs="仿宋"/>
          <w:bCs/>
        </w:rPr>
        <w:t>台、至诚轩</w:t>
      </w:r>
      <w:r>
        <w:rPr>
          <w:rFonts w:hint="eastAsia" w:ascii="仿宋" w:hAnsi="仿宋" w:cs="仿宋"/>
          <w:bCs/>
          <w:u w:val="single"/>
        </w:rPr>
        <w:t>6</w:t>
      </w:r>
      <w:r>
        <w:rPr>
          <w:rFonts w:hint="eastAsia" w:ascii="仿宋" w:hAnsi="仿宋" w:cs="仿宋"/>
          <w:bCs/>
        </w:rPr>
        <w:t>台、至美轩</w:t>
      </w:r>
      <w:r>
        <w:rPr>
          <w:rFonts w:hint="eastAsia" w:ascii="仿宋" w:hAnsi="仿宋" w:cs="仿宋"/>
          <w:bCs/>
          <w:u w:val="single"/>
        </w:rPr>
        <w:t>7</w:t>
      </w:r>
      <w:r>
        <w:rPr>
          <w:rFonts w:hint="eastAsia" w:ascii="仿宋" w:hAnsi="仿宋" w:cs="仿宋"/>
          <w:bCs/>
        </w:rPr>
        <w:t>台、至正轩</w:t>
      </w:r>
      <w:r>
        <w:rPr>
          <w:rFonts w:hint="eastAsia" w:ascii="仿宋" w:hAnsi="仿宋" w:cs="仿宋"/>
          <w:bCs/>
          <w:u w:val="single"/>
        </w:rPr>
        <w:t>7</w:t>
      </w:r>
      <w:r>
        <w:rPr>
          <w:rFonts w:hint="eastAsia" w:ascii="仿宋" w:hAnsi="仿宋" w:cs="仿宋"/>
          <w:bCs/>
        </w:rPr>
        <w:t>台、至信轩</w:t>
      </w:r>
      <w:r>
        <w:rPr>
          <w:rFonts w:hint="eastAsia" w:ascii="仿宋" w:hAnsi="仿宋" w:cs="仿宋"/>
          <w:bCs/>
          <w:u w:val="single"/>
        </w:rPr>
        <w:t>6</w:t>
      </w:r>
      <w:r>
        <w:rPr>
          <w:rFonts w:hint="eastAsia" w:ascii="仿宋" w:hAnsi="仿宋" w:cs="仿宋"/>
          <w:bCs/>
        </w:rPr>
        <w:t>台、至善轩</w:t>
      </w:r>
      <w:r>
        <w:rPr>
          <w:rFonts w:hint="eastAsia" w:ascii="仿宋" w:hAnsi="仿宋" w:cs="仿宋"/>
          <w:bCs/>
          <w:u w:val="single"/>
        </w:rPr>
        <w:t>8</w:t>
      </w:r>
      <w:r>
        <w:rPr>
          <w:rFonts w:hint="eastAsia" w:ascii="仿宋" w:hAnsi="仿宋" w:cs="仿宋"/>
          <w:bCs/>
        </w:rPr>
        <w:t>台、至真轩</w:t>
      </w:r>
      <w:r>
        <w:rPr>
          <w:rFonts w:hint="eastAsia" w:ascii="仿宋" w:hAnsi="仿宋" w:cs="仿宋"/>
          <w:bCs/>
          <w:u w:val="single"/>
        </w:rPr>
        <w:t>8</w:t>
      </w:r>
      <w:r>
        <w:rPr>
          <w:rFonts w:hint="eastAsia" w:ascii="仿宋" w:hAnsi="仿宋" w:cs="仿宋"/>
          <w:bCs/>
        </w:rPr>
        <w:t>台、至理轩</w:t>
      </w:r>
      <w:r>
        <w:rPr>
          <w:rFonts w:hint="eastAsia" w:ascii="仿宋" w:hAnsi="仿宋" w:cs="仿宋"/>
          <w:bCs/>
          <w:u w:val="single"/>
        </w:rPr>
        <w:t>8</w:t>
      </w:r>
      <w:r>
        <w:rPr>
          <w:rFonts w:hint="eastAsia" w:ascii="仿宋" w:hAnsi="仿宋" w:cs="仿宋"/>
          <w:bCs/>
        </w:rPr>
        <w:t>台，合计</w:t>
      </w:r>
      <w:r>
        <w:rPr>
          <w:rFonts w:hint="eastAsia" w:ascii="仿宋" w:hAnsi="仿宋" w:cs="仿宋"/>
          <w:bCs/>
          <w:u w:val="single"/>
        </w:rPr>
        <w:t>82</w:t>
      </w:r>
      <w:r>
        <w:rPr>
          <w:rFonts w:hint="eastAsia" w:ascii="仿宋" w:hAnsi="仿宋" w:cs="仿宋"/>
          <w:bCs/>
        </w:rPr>
        <w:t>台。</w:t>
      </w:r>
    </w:p>
    <w:p w14:paraId="55942E67">
      <w:pPr>
        <w:pStyle w:val="5"/>
        <w:shd w:val="clear" w:color="auto" w:fill="FFFFFF"/>
        <w:spacing w:before="0" w:beforeAutospacing="0" w:after="0" w:afterAutospacing="0" w:line="360" w:lineRule="auto"/>
        <w:ind w:firstLine="482" w:firstLineChars="200"/>
        <w:jc w:val="both"/>
        <w:rPr>
          <w:rStyle w:val="8"/>
          <w:rFonts w:ascii="仿宋" w:hAnsi="仿宋" w:cs="仿宋"/>
          <w:shd w:val="clear" w:color="auto" w:fill="FFFFFF"/>
        </w:rPr>
      </w:pPr>
      <w:r>
        <w:rPr>
          <w:rFonts w:hint="eastAsia" w:ascii="仿宋" w:hAnsi="仿宋" w:cs="仿宋"/>
          <w:b/>
          <w:bCs/>
          <w:shd w:val="clear" w:color="auto" w:fill="FFFFFF"/>
          <w:lang w:bidi="ar"/>
        </w:rPr>
        <w:t>（三）</w:t>
      </w:r>
      <w:r>
        <w:rPr>
          <w:rStyle w:val="8"/>
          <w:rFonts w:hint="eastAsia" w:ascii="仿宋" w:hAnsi="仿宋" w:cs="仿宋"/>
          <w:shd w:val="clear" w:color="auto" w:fill="FFFFFF"/>
        </w:rPr>
        <w:t>经营人员资格及要求</w:t>
      </w:r>
    </w:p>
    <w:p w14:paraId="6B251248">
      <w:pPr>
        <w:spacing w:line="360" w:lineRule="auto"/>
        <w:ind w:firstLine="480" w:firstLineChars="200"/>
        <w:jc w:val="both"/>
        <w:rPr>
          <w:rFonts w:ascii="仿宋" w:hAnsi="仿宋" w:cs="仿宋"/>
        </w:rPr>
      </w:pPr>
      <w:r>
        <w:rPr>
          <w:rFonts w:hint="eastAsia" w:ascii="仿宋" w:hAnsi="仿宋" w:cs="仿宋"/>
        </w:rPr>
        <w:t>1、必须符合竞争性磋商公告及文件要求的供应商资格条件。</w:t>
      </w:r>
    </w:p>
    <w:p w14:paraId="3300EAEF">
      <w:pPr>
        <w:spacing w:line="360" w:lineRule="auto"/>
        <w:ind w:firstLine="480" w:firstLineChars="200"/>
        <w:jc w:val="both"/>
        <w:rPr>
          <w:rFonts w:ascii="仿宋" w:hAnsi="仿宋" w:cs="仿宋"/>
        </w:rPr>
      </w:pPr>
      <w:r>
        <w:rPr>
          <w:rFonts w:hint="eastAsia" w:ascii="仿宋" w:hAnsi="仿宋" w:cs="仿宋"/>
        </w:rPr>
        <w:t>2、自觉遵守国家各项法律、法规和酒泉职业技术大学各项规章制度。</w:t>
      </w:r>
    </w:p>
    <w:p w14:paraId="2B2207A4">
      <w:pPr>
        <w:spacing w:line="360" w:lineRule="auto"/>
        <w:ind w:firstLine="480" w:firstLineChars="200"/>
        <w:jc w:val="both"/>
        <w:rPr>
          <w:rFonts w:ascii="仿宋" w:hAnsi="仿宋" w:cs="仿宋"/>
        </w:rPr>
      </w:pPr>
      <w:r>
        <w:rPr>
          <w:rFonts w:hint="eastAsia" w:ascii="仿宋" w:hAnsi="仿宋" w:cs="仿宋"/>
        </w:rPr>
        <w:t>3、公司法人或委托人（法人委托人需提供与公司签订的2年以上劳动合同或社会养老保险关系证明）应到场参与现场竞标；中标企业不得将经营权进行授权和转让；本项目不接受联合体投标。</w:t>
      </w:r>
    </w:p>
    <w:p w14:paraId="6BF1DC4E">
      <w:pPr>
        <w:spacing w:line="360" w:lineRule="auto"/>
        <w:ind w:firstLine="480" w:firstLineChars="200"/>
        <w:jc w:val="both"/>
        <w:rPr>
          <w:rFonts w:ascii="仿宋" w:hAnsi="仿宋" w:cs="仿宋"/>
        </w:rPr>
      </w:pPr>
      <w:r>
        <w:rPr>
          <w:rFonts w:hint="eastAsia" w:ascii="仿宋" w:hAnsi="仿宋" w:cs="仿宋"/>
        </w:rPr>
        <w:t>5、为了确保学生洗衣卫生安全，运营方应具有杀菌消毒相关的资质证书。</w:t>
      </w:r>
    </w:p>
    <w:p w14:paraId="1D0327C9">
      <w:pPr>
        <w:spacing w:line="360" w:lineRule="auto"/>
        <w:ind w:firstLine="480" w:firstLineChars="200"/>
        <w:jc w:val="both"/>
        <w:rPr>
          <w:rFonts w:ascii="仿宋" w:hAnsi="仿宋" w:cs="仿宋"/>
          <w:bCs/>
        </w:rPr>
      </w:pPr>
      <w:r>
        <w:rPr>
          <w:rFonts w:hint="eastAsia" w:ascii="仿宋" w:hAnsi="仿宋" w:cs="仿宋"/>
        </w:rPr>
        <w:t>6、本次招标的房屋为酒泉职业技术大学所有公用区域，如遇政府行为改造和迁移、酒泉职业技术大学规划的扩建及征用相关事项以及房屋使用性质发生变化，运营负责人应无条件予以配合迁移或撤出，合同随即变更或终止。</w:t>
      </w:r>
    </w:p>
    <w:p w14:paraId="64655486">
      <w:pPr>
        <w:spacing w:line="360" w:lineRule="auto"/>
        <w:ind w:firstLine="482" w:firstLineChars="200"/>
        <w:jc w:val="both"/>
        <w:rPr>
          <w:rFonts w:ascii="仿宋" w:hAnsi="仿宋" w:cs="仿宋"/>
          <w:b/>
        </w:rPr>
      </w:pPr>
      <w:r>
        <w:rPr>
          <w:rFonts w:hint="eastAsia" w:ascii="仿宋" w:hAnsi="仿宋" w:cs="仿宋"/>
          <w:b/>
        </w:rPr>
        <w:t>（四）采购方案</w:t>
      </w:r>
    </w:p>
    <w:p w14:paraId="2C3E6775">
      <w:pPr>
        <w:spacing w:line="360" w:lineRule="auto"/>
        <w:ind w:firstLine="480" w:firstLineChars="200"/>
        <w:jc w:val="both"/>
        <w:rPr>
          <w:rFonts w:ascii="仿宋" w:hAnsi="仿宋" w:cs="仿宋"/>
          <w:bCs/>
        </w:rPr>
      </w:pPr>
      <w:r>
        <w:rPr>
          <w:rFonts w:hint="eastAsia" w:ascii="仿宋" w:hAnsi="仿宋" w:cs="仿宋"/>
          <w:bCs/>
        </w:rPr>
        <w:t>上述自助洗衣机服务项目，均通过甘肃省经济信息网发布采购信息，欢迎社会各界供应商参与竞标。洗衣机电费及维护等所有费用由供应商自理，按照科技园公司要求安排摆放，每台自助洗衣机起点竞价运营管理费用700元/台/年，</w:t>
      </w:r>
      <w:r>
        <w:rPr>
          <w:rFonts w:hint="eastAsia"/>
        </w:rPr>
        <w:t>最高控制运营管理费</w:t>
      </w:r>
      <w:r>
        <w:rPr>
          <w:rFonts w:hint="eastAsia" w:ascii="仿宋" w:hAnsi="仿宋" w:cs="仿宋"/>
          <w:bCs/>
        </w:rPr>
        <w:t>1400元/台/年，年度考核合格者，服务器最长为3年。</w:t>
      </w:r>
    </w:p>
    <w:p w14:paraId="59C3458F">
      <w:pPr>
        <w:spacing w:line="360" w:lineRule="auto"/>
        <w:ind w:firstLine="480" w:firstLineChars="200"/>
        <w:jc w:val="both"/>
        <w:rPr>
          <w:rFonts w:ascii="仿宋" w:hAnsi="仿宋" w:cs="仿宋"/>
          <w:bCs/>
        </w:rPr>
      </w:pPr>
      <w:r>
        <w:rPr>
          <w:rFonts w:hint="eastAsia" w:ascii="仿宋" w:hAnsi="仿宋" w:cs="仿宋"/>
          <w:bCs/>
        </w:rPr>
        <w:t>本项目采用一次招标三年沿用、实行一年一考核一签合同的办法，每年度参考核机制考核为优秀时续签，每年度参考核机制考核为合格时需依具体情况商议后决定是否续签，每年度参考核机制考核为不合格时直接终止续签，由采购人重新办理招标采购，重新采购中标方的模式，具体服务内容、数量及费用、考核办法按年度签订补充协议确定。</w:t>
      </w:r>
    </w:p>
    <w:p w14:paraId="3658179A">
      <w:pPr>
        <w:pStyle w:val="5"/>
        <w:shd w:val="clear" w:color="auto" w:fill="FFFFFF"/>
        <w:spacing w:before="0" w:beforeAutospacing="0" w:after="0" w:afterAutospacing="0" w:line="360" w:lineRule="auto"/>
        <w:ind w:firstLine="482" w:firstLineChars="200"/>
        <w:jc w:val="both"/>
        <w:rPr>
          <w:rStyle w:val="8"/>
          <w:rFonts w:ascii="仿宋" w:hAnsi="仿宋" w:cs="仿宋"/>
          <w:shd w:val="clear" w:color="auto" w:fill="FFFFFF"/>
        </w:rPr>
      </w:pPr>
      <w:r>
        <w:rPr>
          <w:rStyle w:val="8"/>
          <w:rFonts w:hint="eastAsia" w:ascii="仿宋" w:hAnsi="仿宋" w:cs="仿宋"/>
          <w:shd w:val="clear" w:color="auto" w:fill="FFFFFF"/>
        </w:rPr>
        <w:t>（五）运营管理费、保证金、水电费和其他费用支付</w:t>
      </w:r>
    </w:p>
    <w:p w14:paraId="0FE23765">
      <w:pPr>
        <w:spacing w:line="360" w:lineRule="auto"/>
        <w:ind w:firstLine="480" w:firstLineChars="200"/>
        <w:jc w:val="both"/>
        <w:rPr>
          <w:rFonts w:ascii="仿宋" w:hAnsi="仿宋" w:cs="仿宋"/>
          <w:bCs/>
        </w:rPr>
      </w:pPr>
      <w:r>
        <w:rPr>
          <w:rFonts w:hint="eastAsia" w:ascii="仿宋" w:hAnsi="仿宋" w:cs="仿宋"/>
          <w:bCs/>
        </w:rPr>
        <w:t>⒈运营管理费和保证金支付。本次公开招标的服务项目运营管理费采用年付的方式，即在签订运营管理协议时付清一年运营管理费，之后每年须严格按照约定日期缴纳运营管理费。如不按约定缴纳运营管理费，合同自动终止，没收履约保证金且将视该企业为信用不合格企业，不再享有以后年度的服务项目公开招标报名权。</w:t>
      </w:r>
    </w:p>
    <w:p w14:paraId="63072E27">
      <w:pPr>
        <w:numPr>
          <w:ilvl w:val="0"/>
          <w:numId w:val="1"/>
        </w:numPr>
        <w:spacing w:line="360" w:lineRule="auto"/>
        <w:rPr>
          <w:rFonts w:ascii="仿宋" w:hAnsi="仿宋" w:cs="仿宋"/>
          <w:bCs/>
        </w:rPr>
      </w:pPr>
      <w:r>
        <w:rPr>
          <w:rFonts w:hint="eastAsia"/>
        </w:rPr>
        <w:t>合同签订前提交履约保证金30000元，合同到期不再续约时无息退还，签订合同时需携带成交通知书、履约保证金打款凭证及安全承诺，</w:t>
      </w:r>
      <w:r>
        <w:rPr>
          <w:rFonts w:hint="eastAsia" w:ascii="仿宋" w:hAnsi="仿宋" w:cs="仿宋"/>
          <w:bCs/>
        </w:rPr>
        <w:t>日常管理中运营方不积极配合校方检查的或服务质量效果未达到合同要求的，第一次给予警告，警告后仍不整改的，给予1000元罚款；一年内罚款超过3次的，校方有权取消运营资格，已交的运营管理费及保证金不退还。</w:t>
      </w:r>
    </w:p>
    <w:p w14:paraId="33C21679">
      <w:pPr>
        <w:spacing w:line="360" w:lineRule="auto"/>
        <w:ind w:firstLine="480" w:firstLineChars="200"/>
        <w:jc w:val="both"/>
        <w:rPr>
          <w:rFonts w:ascii="仿宋" w:hAnsi="仿宋" w:cs="仿宋"/>
          <w:bCs/>
        </w:rPr>
      </w:pPr>
      <w:r>
        <w:rPr>
          <w:rFonts w:hint="eastAsia" w:ascii="仿宋" w:hAnsi="仿宋" w:cs="仿宋"/>
          <w:bCs/>
        </w:rPr>
        <w:t>⒉水电费和其他费用。运营服务期间，经营方需承担运营期间发生的一切费用，运营服务期间房屋水电费按实际发生数额，根据酒泉职业技术大学电费收费标准和实际情况，由运营方负责支付，不得拖延或拒绝，经营期间发生的管理费、有偿服务费、房屋及设施设备的维护、维修费用等由运营方自行承担。运营方需按学校水电费计量要求实施线路改造，水电表由学校统一安装，费用自理。</w:t>
      </w:r>
    </w:p>
    <w:p w14:paraId="0113C589">
      <w:pPr>
        <w:pStyle w:val="5"/>
        <w:shd w:val="clear" w:color="auto" w:fill="FFFFFF"/>
        <w:spacing w:before="0" w:beforeAutospacing="0" w:after="0" w:afterAutospacing="0" w:line="360" w:lineRule="auto"/>
        <w:ind w:firstLine="482" w:firstLineChars="200"/>
        <w:jc w:val="both"/>
        <w:rPr>
          <w:rStyle w:val="8"/>
          <w:rFonts w:ascii="仿宋" w:hAnsi="仿宋" w:cs="仿宋"/>
          <w:shd w:val="clear" w:color="auto" w:fill="FFFFFF"/>
        </w:rPr>
      </w:pPr>
      <w:r>
        <w:rPr>
          <w:rStyle w:val="8"/>
          <w:rFonts w:hint="eastAsia" w:ascii="仿宋" w:hAnsi="仿宋" w:cs="仿宋"/>
          <w:shd w:val="clear" w:color="auto" w:fill="FFFFFF"/>
        </w:rPr>
        <w:t>（六）设备要求</w:t>
      </w:r>
    </w:p>
    <w:p w14:paraId="4D8F0E60">
      <w:pPr>
        <w:spacing w:line="360" w:lineRule="auto"/>
        <w:ind w:firstLine="480" w:firstLineChars="200"/>
        <w:jc w:val="both"/>
        <w:rPr>
          <w:rFonts w:ascii="仿宋" w:hAnsi="仿宋" w:cs="仿宋"/>
          <w:bCs/>
        </w:rPr>
      </w:pPr>
      <w:r>
        <w:rPr>
          <w:rFonts w:hint="eastAsia" w:ascii="仿宋" w:hAnsi="仿宋" w:cs="仿宋"/>
          <w:bCs/>
        </w:rPr>
        <w:t>1.为了保证设备的质量，设备要求必须是行业一线品牌。</w:t>
      </w:r>
    </w:p>
    <w:p w14:paraId="1B50027E">
      <w:pPr>
        <w:spacing w:line="360" w:lineRule="auto"/>
        <w:ind w:firstLine="480" w:firstLineChars="200"/>
        <w:jc w:val="both"/>
        <w:rPr>
          <w:rFonts w:ascii="仿宋" w:hAnsi="仿宋" w:cs="仿宋"/>
          <w:bCs/>
        </w:rPr>
      </w:pPr>
      <w:r>
        <w:rPr>
          <w:rFonts w:hint="eastAsia" w:ascii="仿宋" w:hAnsi="仿宋" w:cs="仿宋"/>
          <w:bCs/>
        </w:rPr>
        <w:t>2.洗衣机具有脱水、快洗、标准洗、大件洗等洗衣模式。</w:t>
      </w:r>
    </w:p>
    <w:p w14:paraId="57E25D46">
      <w:pPr>
        <w:spacing w:line="360" w:lineRule="auto"/>
        <w:ind w:firstLine="480" w:firstLineChars="200"/>
        <w:jc w:val="both"/>
        <w:rPr>
          <w:rFonts w:ascii="仿宋" w:hAnsi="仿宋" w:cs="仿宋"/>
          <w:bCs/>
        </w:rPr>
      </w:pPr>
      <w:r>
        <w:rPr>
          <w:rFonts w:hint="eastAsia" w:ascii="仿宋" w:hAnsi="仿宋" w:cs="仿宋"/>
          <w:bCs/>
        </w:rPr>
        <w:t>3.为保障安全，减少有害物质对环境及人体健康的危害，拟投滚筒洗衣机应具备电器电子产品有害物质限制使用认证证书，且耗电量小于0.7（工作周期消耗）。</w:t>
      </w:r>
    </w:p>
    <w:p w14:paraId="3316540C">
      <w:pPr>
        <w:spacing w:line="360" w:lineRule="auto"/>
        <w:ind w:firstLine="480" w:firstLineChars="200"/>
        <w:jc w:val="both"/>
        <w:rPr>
          <w:rFonts w:ascii="仿宋" w:hAnsi="仿宋" w:cs="仿宋"/>
          <w:bCs/>
        </w:rPr>
      </w:pPr>
      <w:r>
        <w:rPr>
          <w:rFonts w:hint="eastAsia" w:ascii="仿宋" w:hAnsi="仿宋" w:cs="仿宋"/>
          <w:bCs/>
        </w:rPr>
        <w:t>4.为了保障人身和财产安全，拟投放洗衣机具备《强制燃烧试验》检测报告。</w:t>
      </w:r>
    </w:p>
    <w:p w14:paraId="7F6344AB">
      <w:pPr>
        <w:spacing w:line="360" w:lineRule="auto"/>
        <w:ind w:firstLine="480" w:firstLineChars="200"/>
        <w:jc w:val="both"/>
        <w:rPr>
          <w:rFonts w:ascii="仿宋" w:hAnsi="仿宋" w:cs="仿宋"/>
          <w:bCs/>
        </w:rPr>
      </w:pPr>
      <w:r>
        <w:rPr>
          <w:rFonts w:hint="eastAsia" w:ascii="仿宋" w:hAnsi="仿宋" w:cs="仿宋"/>
          <w:bCs/>
        </w:rPr>
        <w:t>5.所投放设备均为原装设备、严禁使用改装设备。</w:t>
      </w:r>
    </w:p>
    <w:p w14:paraId="4B26D5DA">
      <w:pPr>
        <w:spacing w:line="360" w:lineRule="auto"/>
        <w:ind w:firstLine="482" w:firstLineChars="200"/>
        <w:jc w:val="both"/>
        <w:rPr>
          <w:rFonts w:ascii="仿宋" w:hAnsi="仿宋" w:cs="仿宋"/>
          <w:b/>
        </w:rPr>
      </w:pPr>
      <w:r>
        <w:rPr>
          <w:rFonts w:hint="eastAsia" w:ascii="仿宋" w:hAnsi="仿宋" w:cs="仿宋"/>
          <w:b/>
        </w:rPr>
        <w:t>（七）功能要求</w:t>
      </w:r>
    </w:p>
    <w:p w14:paraId="3387DCE5">
      <w:pPr>
        <w:spacing w:line="360" w:lineRule="auto"/>
        <w:ind w:firstLine="480" w:firstLineChars="200"/>
        <w:jc w:val="both"/>
        <w:rPr>
          <w:rFonts w:ascii="仿宋" w:hAnsi="仿宋" w:cs="仿宋"/>
          <w:bCs/>
        </w:rPr>
      </w:pPr>
      <w:r>
        <w:rPr>
          <w:rFonts w:hint="eastAsia" w:ascii="仿宋" w:hAnsi="仿宋" w:cs="仿宋"/>
          <w:bCs/>
        </w:rPr>
        <w:t>1、配备智能硬件，自动联网，用户能通过小程序或微信公众号实现在线支付等功能。同时具备如下功能：</w:t>
      </w:r>
    </w:p>
    <w:p w14:paraId="661D73B4">
      <w:pPr>
        <w:spacing w:line="360" w:lineRule="auto"/>
        <w:ind w:firstLine="480" w:firstLineChars="200"/>
        <w:jc w:val="both"/>
        <w:rPr>
          <w:rFonts w:ascii="仿宋" w:hAnsi="仿宋" w:cs="仿宋"/>
          <w:bCs/>
        </w:rPr>
      </w:pPr>
      <w:r>
        <w:rPr>
          <w:rFonts w:hint="eastAsia" w:ascii="仿宋" w:hAnsi="仿宋" w:cs="仿宋"/>
          <w:bCs/>
        </w:rPr>
        <w:t>（1）预约功能：学生可定位并随时查询空闲机器，并预约使用。</w:t>
      </w:r>
    </w:p>
    <w:p w14:paraId="005585CC">
      <w:pPr>
        <w:spacing w:line="360" w:lineRule="auto"/>
        <w:ind w:firstLine="480" w:firstLineChars="200"/>
        <w:jc w:val="both"/>
        <w:rPr>
          <w:rFonts w:ascii="仿宋" w:hAnsi="仿宋" w:cs="仿宋"/>
          <w:bCs/>
        </w:rPr>
      </w:pPr>
      <w:r>
        <w:rPr>
          <w:rFonts w:hint="eastAsia" w:ascii="仿宋" w:hAnsi="仿宋" w:cs="仿宋"/>
          <w:bCs/>
        </w:rPr>
        <w:t>（2）洗完后自动提醒功能：可随时查询洗涤进度，洗衣结束后，会收到信息。</w:t>
      </w:r>
    </w:p>
    <w:p w14:paraId="58F27484">
      <w:pPr>
        <w:spacing w:line="360" w:lineRule="auto"/>
        <w:ind w:firstLine="480" w:firstLineChars="200"/>
        <w:jc w:val="both"/>
        <w:rPr>
          <w:rFonts w:ascii="仿宋" w:hAnsi="仿宋" w:cs="仿宋"/>
          <w:bCs/>
        </w:rPr>
      </w:pPr>
      <w:r>
        <w:rPr>
          <w:rFonts w:hint="eastAsia" w:ascii="仿宋" w:hAnsi="仿宋" w:cs="仿宋"/>
          <w:bCs/>
        </w:rPr>
        <w:t>（3）退款功能：设备故障或启动不成功，设备会自动报警和重启，如重启不成功，后台会返还已经支付的费用。</w:t>
      </w:r>
    </w:p>
    <w:p w14:paraId="0CB058F4">
      <w:pPr>
        <w:spacing w:line="360" w:lineRule="auto"/>
        <w:ind w:firstLine="480" w:firstLineChars="200"/>
        <w:jc w:val="both"/>
        <w:rPr>
          <w:rFonts w:ascii="仿宋" w:hAnsi="仿宋" w:cs="仿宋"/>
          <w:bCs/>
        </w:rPr>
      </w:pPr>
      <w:r>
        <w:rPr>
          <w:rFonts w:hint="eastAsia" w:ascii="仿宋" w:hAnsi="仿宋" w:cs="仿宋"/>
          <w:bCs/>
        </w:rPr>
        <w:t>（4）“桶自洁”功能：自带洗衣前快速筒自洁，免费，学生可下单进行。</w:t>
      </w:r>
    </w:p>
    <w:p w14:paraId="26D66669">
      <w:pPr>
        <w:spacing w:line="360" w:lineRule="auto"/>
        <w:ind w:firstLine="480" w:firstLineChars="200"/>
        <w:jc w:val="both"/>
        <w:rPr>
          <w:rFonts w:ascii="仿宋" w:hAnsi="仿宋" w:cs="仿宋"/>
          <w:bCs/>
        </w:rPr>
      </w:pPr>
      <w:r>
        <w:rPr>
          <w:rFonts w:hint="eastAsia" w:ascii="仿宋" w:hAnsi="仿宋" w:cs="仿宋"/>
          <w:bCs/>
        </w:rPr>
        <w:t>（5）断电、断水记忆功能：断电、断水后，机器会继续完成未完成的任务。</w:t>
      </w:r>
    </w:p>
    <w:p w14:paraId="06FDE736">
      <w:pPr>
        <w:spacing w:line="360" w:lineRule="auto"/>
        <w:ind w:firstLine="482" w:firstLineChars="200"/>
        <w:jc w:val="both"/>
        <w:rPr>
          <w:rFonts w:ascii="仿宋" w:hAnsi="仿宋" w:cs="仿宋"/>
          <w:b/>
        </w:rPr>
      </w:pPr>
      <w:r>
        <w:rPr>
          <w:rFonts w:hint="eastAsia" w:ascii="仿宋" w:hAnsi="仿宋" w:cs="仿宋"/>
          <w:b/>
        </w:rPr>
        <w:t>（八）服务要求</w:t>
      </w:r>
    </w:p>
    <w:p w14:paraId="1153D920">
      <w:pPr>
        <w:spacing w:line="360" w:lineRule="auto"/>
        <w:ind w:firstLine="480" w:firstLineChars="200"/>
        <w:jc w:val="both"/>
        <w:rPr>
          <w:rFonts w:ascii="仿宋" w:hAnsi="仿宋" w:cs="仿宋"/>
          <w:bCs/>
        </w:rPr>
      </w:pPr>
      <w:r>
        <w:rPr>
          <w:rFonts w:hint="eastAsia" w:ascii="仿宋" w:hAnsi="仿宋" w:cs="仿宋"/>
          <w:bCs/>
        </w:rPr>
        <w:t>运营方负责洗衣房的日常经营管理，负责设备日常维修维护、清洁消毒以及处理师生反映的问题，并满足学校关于宿舍管理的相关规定。运营方根据学校需要，自投资金在学生公寓建设一站式学生服务区。</w:t>
      </w:r>
    </w:p>
    <w:p w14:paraId="5CC80CFF">
      <w:pPr>
        <w:spacing w:line="360" w:lineRule="auto"/>
        <w:ind w:firstLine="482" w:firstLineChars="200"/>
        <w:jc w:val="both"/>
        <w:rPr>
          <w:rFonts w:ascii="仿宋" w:hAnsi="仿宋" w:cs="仿宋"/>
          <w:b/>
        </w:rPr>
      </w:pPr>
      <w:r>
        <w:rPr>
          <w:rFonts w:hint="eastAsia" w:ascii="仿宋" w:hAnsi="仿宋" w:cs="仿宋"/>
          <w:b/>
        </w:rPr>
        <w:t>（九）收费标准</w:t>
      </w:r>
    </w:p>
    <w:p w14:paraId="23A5C0E5">
      <w:pPr>
        <w:spacing w:line="360" w:lineRule="auto"/>
        <w:ind w:firstLine="480" w:firstLineChars="200"/>
        <w:jc w:val="both"/>
        <w:rPr>
          <w:rFonts w:ascii="仿宋" w:hAnsi="仿宋" w:cs="仿宋"/>
          <w:bCs/>
        </w:rPr>
      </w:pPr>
      <w:r>
        <w:rPr>
          <w:rFonts w:hint="eastAsia" w:ascii="仿宋" w:hAnsi="仿宋" w:cs="仿宋"/>
          <w:bCs/>
        </w:rPr>
        <w:t>价格不得高于以下标准</w:t>
      </w:r>
    </w:p>
    <w:p w14:paraId="106044BF">
      <w:pPr>
        <w:spacing w:line="360" w:lineRule="auto"/>
        <w:ind w:firstLine="480" w:firstLineChars="200"/>
        <w:jc w:val="both"/>
        <w:rPr>
          <w:rFonts w:ascii="仿宋" w:hAnsi="仿宋" w:cs="仿宋"/>
          <w:bCs/>
        </w:rPr>
      </w:pPr>
      <w:r>
        <w:rPr>
          <w:rFonts w:hint="eastAsia" w:ascii="仿宋" w:hAnsi="仿宋" w:cs="仿宋"/>
          <w:bCs/>
        </w:rPr>
        <w:t>1、洗衣机：单脱水：1元/11分钟，快洗：2.5元/24分钟，常规洗：3.5元/37分钟，轻柔洗：3.5元/37分钟，超长洗：4元/45分钟</w:t>
      </w:r>
    </w:p>
    <w:p w14:paraId="185841A4">
      <w:pPr>
        <w:spacing w:line="360" w:lineRule="auto"/>
        <w:ind w:firstLine="482" w:firstLineChars="200"/>
        <w:jc w:val="both"/>
        <w:rPr>
          <w:rFonts w:ascii="仿宋" w:hAnsi="仿宋" w:cs="仿宋"/>
          <w:b/>
        </w:rPr>
      </w:pPr>
      <w:r>
        <w:rPr>
          <w:rFonts w:hint="eastAsia" w:ascii="仿宋" w:hAnsi="仿宋" w:cs="仿宋"/>
          <w:b/>
        </w:rPr>
        <w:t>（十）装修要求</w:t>
      </w:r>
    </w:p>
    <w:p w14:paraId="5FCE36D0">
      <w:pPr>
        <w:spacing w:line="360" w:lineRule="auto"/>
        <w:ind w:firstLine="480" w:firstLineChars="200"/>
        <w:jc w:val="both"/>
        <w:rPr>
          <w:rFonts w:ascii="仿宋" w:hAnsi="仿宋" w:cs="仿宋"/>
          <w:bCs/>
        </w:rPr>
      </w:pPr>
      <w:r>
        <w:rPr>
          <w:rFonts w:hint="eastAsia" w:ascii="仿宋" w:hAnsi="仿宋" w:cs="仿宋"/>
          <w:bCs/>
        </w:rPr>
        <w:t>运营方如因经营需要对使用场地进行改造、装修，必须遵守以下规定：</w:t>
      </w:r>
    </w:p>
    <w:p w14:paraId="1CA8C89C">
      <w:pPr>
        <w:spacing w:line="360" w:lineRule="auto"/>
        <w:ind w:firstLine="480" w:firstLineChars="200"/>
        <w:jc w:val="both"/>
        <w:rPr>
          <w:rFonts w:ascii="仿宋" w:hAnsi="仿宋" w:cs="仿宋"/>
          <w:bCs/>
        </w:rPr>
      </w:pPr>
      <w:r>
        <w:rPr>
          <w:rFonts w:hint="eastAsia" w:ascii="仿宋" w:hAnsi="仿宋" w:cs="仿宋"/>
          <w:bCs/>
        </w:rPr>
        <w:t>⒈改造、装修方案需提前以书面形式报酒泉职业技术学院科技园公司审批，所发生的费用自理。</w:t>
      </w:r>
    </w:p>
    <w:p w14:paraId="11041833">
      <w:pPr>
        <w:spacing w:line="360" w:lineRule="auto"/>
        <w:ind w:firstLine="480" w:firstLineChars="200"/>
        <w:jc w:val="both"/>
        <w:rPr>
          <w:rFonts w:ascii="仿宋" w:hAnsi="仿宋" w:cs="仿宋"/>
          <w:bCs/>
        </w:rPr>
      </w:pPr>
      <w:r>
        <w:rPr>
          <w:rFonts w:hint="eastAsia" w:ascii="仿宋" w:hAnsi="仿宋" w:cs="仿宋"/>
          <w:bCs/>
        </w:rPr>
        <w:t>⒉改造、装修必须符合学校统一规划和设计要求，不得破坏房屋结构，不得影响校容校貌。</w:t>
      </w:r>
    </w:p>
    <w:p w14:paraId="6D44EECC">
      <w:pPr>
        <w:spacing w:line="360" w:lineRule="auto"/>
        <w:ind w:firstLine="480" w:firstLineChars="200"/>
        <w:jc w:val="both"/>
        <w:rPr>
          <w:rFonts w:ascii="仿宋" w:hAnsi="仿宋" w:cs="仿宋"/>
          <w:bCs/>
        </w:rPr>
      </w:pPr>
      <w:r>
        <w:rPr>
          <w:rFonts w:hint="eastAsia" w:ascii="仿宋" w:hAnsi="仿宋" w:cs="仿宋"/>
          <w:bCs/>
        </w:rPr>
        <w:t>⒊房屋内部改造装修、设施配备的费用由运营方自行承担。不得私自侵占房屋以外用地，服从酒泉职业技术学院科技园有限公司对房屋及周边环境的管理，否则将视为运营方违约，合同自动终止并没收履约保证金。</w:t>
      </w:r>
    </w:p>
    <w:p w14:paraId="12D408C2">
      <w:pPr>
        <w:spacing w:line="360" w:lineRule="auto"/>
        <w:ind w:firstLine="482" w:firstLineChars="200"/>
        <w:jc w:val="both"/>
        <w:rPr>
          <w:rFonts w:ascii="仿宋" w:hAnsi="仿宋" w:cs="仿宋"/>
          <w:b/>
        </w:rPr>
      </w:pPr>
      <w:r>
        <w:rPr>
          <w:rFonts w:hint="eastAsia" w:ascii="仿宋" w:hAnsi="仿宋" w:cs="仿宋"/>
          <w:b/>
        </w:rPr>
        <w:t>（十一）其他事项</w:t>
      </w:r>
    </w:p>
    <w:p w14:paraId="7431B341">
      <w:pPr>
        <w:spacing w:line="360" w:lineRule="auto"/>
        <w:ind w:firstLine="480" w:firstLineChars="200"/>
        <w:jc w:val="both"/>
        <w:rPr>
          <w:rFonts w:ascii="仿宋" w:hAnsi="仿宋" w:cs="仿宋"/>
          <w:bCs/>
        </w:rPr>
      </w:pPr>
      <w:r>
        <w:rPr>
          <w:rFonts w:hint="eastAsia" w:ascii="仿宋" w:hAnsi="仿宋" w:cs="仿宋"/>
          <w:bCs/>
        </w:rPr>
        <w:t>⒈运营方实行三包。“包卫生、包管理、包安全”，按照学校要求提供自助洗衣机消杀记录清单，完善“除四害”管理制度，并与学校签订相关安全协议书或责任书。</w:t>
      </w:r>
    </w:p>
    <w:p w14:paraId="115962DA">
      <w:pPr>
        <w:spacing w:line="360" w:lineRule="auto"/>
        <w:ind w:firstLine="480" w:firstLineChars="200"/>
        <w:jc w:val="both"/>
        <w:rPr>
          <w:rFonts w:ascii="仿宋" w:hAnsi="仿宋" w:cs="仿宋"/>
          <w:bCs/>
        </w:rPr>
      </w:pPr>
      <w:r>
        <w:rPr>
          <w:rFonts w:hint="eastAsia" w:ascii="仿宋" w:hAnsi="仿宋" w:cs="仿宋"/>
          <w:bCs/>
        </w:rPr>
        <w:t>2.运营方必须自营，不得转给他人经营。行为一经发现将视为运营方违约，合同自动终止并没收履约保证金。</w:t>
      </w:r>
    </w:p>
    <w:p w14:paraId="2D4DDFD6">
      <w:pPr>
        <w:spacing w:line="360" w:lineRule="auto"/>
        <w:ind w:firstLine="480" w:firstLineChars="200"/>
        <w:jc w:val="both"/>
        <w:rPr>
          <w:rFonts w:ascii="仿宋" w:hAnsi="仿宋" w:cs="仿宋"/>
          <w:bCs/>
        </w:rPr>
      </w:pPr>
      <w:r>
        <w:rPr>
          <w:rFonts w:hint="eastAsia" w:ascii="仿宋" w:hAnsi="仿宋" w:cs="仿宋"/>
          <w:bCs/>
        </w:rPr>
        <w:t>3.运营管理人员及其所有工作人员与我校无隶属关系，运营管理期间，运营方应最大限度保证各项的安全，发生一切事故、工伤等事件，均由运营方自行解决。</w:t>
      </w:r>
    </w:p>
    <w:p w14:paraId="40AB8897">
      <w:pPr>
        <w:spacing w:line="360" w:lineRule="auto"/>
        <w:ind w:firstLine="480" w:firstLineChars="200"/>
        <w:jc w:val="both"/>
        <w:rPr>
          <w:rFonts w:ascii="仿宋" w:hAnsi="仿宋" w:cs="仿宋"/>
          <w:bCs/>
        </w:rPr>
      </w:pPr>
      <w:r>
        <w:rPr>
          <w:rFonts w:hint="eastAsia" w:ascii="仿宋" w:hAnsi="仿宋" w:cs="仿宋"/>
          <w:bCs/>
        </w:rPr>
        <w:t>4.运营方不得从事违法经营活动，一经发现，运营方承担全部处罚，并将视为运营方违约，合同自动终止。</w:t>
      </w:r>
    </w:p>
    <w:p w14:paraId="6658C949">
      <w:pPr>
        <w:spacing w:line="360" w:lineRule="auto"/>
        <w:ind w:firstLine="482" w:firstLineChars="200"/>
        <w:jc w:val="both"/>
        <w:rPr>
          <w:rFonts w:ascii="仿宋" w:hAnsi="仿宋" w:cs="仿宋"/>
          <w:b/>
        </w:rPr>
      </w:pPr>
      <w:r>
        <w:rPr>
          <w:rFonts w:hint="eastAsia" w:ascii="仿宋" w:hAnsi="仿宋" w:cs="仿宋"/>
          <w:b/>
        </w:rPr>
        <w:t>（十二）洗衣机参数</w:t>
      </w:r>
    </w:p>
    <w:p w14:paraId="6D9CA3D5">
      <w:pPr>
        <w:spacing w:line="360" w:lineRule="auto"/>
        <w:ind w:firstLine="480" w:firstLineChars="200"/>
        <w:jc w:val="both"/>
        <w:rPr>
          <w:rFonts w:ascii="仿宋" w:hAnsi="仿宋" w:cs="仿宋"/>
        </w:rPr>
      </w:pPr>
      <w:r>
        <w:rPr>
          <w:rFonts w:hint="eastAsia" w:ascii="仿宋" w:hAnsi="仿宋" w:cs="仿宋"/>
        </w:rPr>
        <w:t>名称：机桶分离洗衣机</w:t>
      </w:r>
    </w:p>
    <w:p w14:paraId="15B39F76">
      <w:pPr>
        <w:spacing w:line="360" w:lineRule="auto"/>
        <w:ind w:firstLine="480" w:firstLineChars="200"/>
        <w:jc w:val="both"/>
        <w:rPr>
          <w:rFonts w:ascii="仿宋" w:hAnsi="仿宋" w:cs="仿宋"/>
        </w:rPr>
      </w:pPr>
      <w:r>
        <w:rPr>
          <w:rFonts w:hint="eastAsia" w:ascii="仿宋" w:hAnsi="仿宋" w:cs="仿宋"/>
        </w:rPr>
        <w:t>数量：82台</w:t>
      </w:r>
    </w:p>
    <w:p w14:paraId="0A2255DE">
      <w:pPr>
        <w:spacing w:line="360" w:lineRule="auto"/>
        <w:ind w:firstLine="480" w:firstLineChars="200"/>
        <w:jc w:val="both"/>
        <w:rPr>
          <w:rFonts w:ascii="仿宋" w:hAnsi="仿宋" w:cs="仿宋"/>
        </w:rPr>
      </w:pPr>
      <w:r>
        <w:rPr>
          <w:rFonts w:hint="eastAsia" w:ascii="仿宋" w:hAnsi="仿宋" w:cs="仿宋"/>
        </w:rPr>
        <w:t>单价：起点竞价运营管理费用700元/台/年，最高限价为1400元/台/年</w:t>
      </w:r>
    </w:p>
    <w:p w14:paraId="546970D4">
      <w:pPr>
        <w:spacing w:line="360" w:lineRule="auto"/>
        <w:ind w:firstLine="480" w:firstLineChars="200"/>
        <w:jc w:val="both"/>
        <w:rPr>
          <w:rFonts w:ascii="仿宋" w:hAnsi="仿宋" w:cs="仿宋"/>
        </w:rPr>
      </w:pPr>
      <w:r>
        <w:rPr>
          <w:rFonts w:hint="eastAsia" w:ascii="仿宋" w:hAnsi="仿宋" w:cs="仿宋"/>
        </w:rPr>
        <w:t>颜色：白色（±5%）</w:t>
      </w:r>
    </w:p>
    <w:p w14:paraId="51A1B4D8">
      <w:pPr>
        <w:spacing w:line="360" w:lineRule="auto"/>
        <w:ind w:firstLine="480" w:firstLineChars="200"/>
        <w:jc w:val="both"/>
        <w:rPr>
          <w:rFonts w:ascii="仿宋" w:hAnsi="仿宋" w:cs="仿宋"/>
        </w:rPr>
      </w:pPr>
      <w:r>
        <w:rPr>
          <w:rFonts w:hint="eastAsia" w:ascii="仿宋" w:hAnsi="仿宋" w:cs="仿宋"/>
        </w:rPr>
        <w:t>洗衣机外形尺寸：设备外形尺寸（长×宽×高）：560x550x880mm（±5%）（提供投标产品参数说明或彩页等证明材料）；</w:t>
      </w:r>
    </w:p>
    <w:p w14:paraId="3DB2C5BE">
      <w:pPr>
        <w:spacing w:line="360" w:lineRule="auto"/>
        <w:ind w:firstLine="480" w:firstLineChars="200"/>
        <w:jc w:val="both"/>
        <w:rPr>
          <w:rFonts w:ascii="仿宋" w:hAnsi="仿宋" w:cs="仿宋"/>
        </w:rPr>
      </w:pPr>
      <w:r>
        <w:rPr>
          <w:rFonts w:hint="eastAsia" w:ascii="仿宋" w:hAnsi="仿宋" w:cs="仿宋"/>
        </w:rPr>
        <w:t>其他参数：1、洗衣机洗涤容量：≧4.5kg；</w:t>
      </w:r>
    </w:p>
    <w:p w14:paraId="36036265">
      <w:pPr>
        <w:spacing w:line="360" w:lineRule="auto"/>
        <w:ind w:firstLine="480" w:firstLineChars="200"/>
        <w:jc w:val="both"/>
        <w:rPr>
          <w:rFonts w:ascii="仿宋" w:hAnsi="仿宋" w:cs="仿宋"/>
        </w:rPr>
      </w:pPr>
      <w:r>
        <w:rPr>
          <w:rFonts w:hint="eastAsia" w:ascii="仿宋" w:hAnsi="仿宋" w:cs="仿宋"/>
        </w:rPr>
        <w:t>2、洗衣机洗涤功率/脱水功率（W）：≧300/300</w:t>
      </w:r>
    </w:p>
    <w:p w14:paraId="7DB248BB">
      <w:pPr>
        <w:spacing w:line="360" w:lineRule="auto"/>
        <w:ind w:firstLine="480" w:firstLineChars="200"/>
        <w:jc w:val="both"/>
        <w:rPr>
          <w:rFonts w:ascii="仿宋" w:hAnsi="仿宋" w:cs="仿宋"/>
        </w:rPr>
      </w:pPr>
      <w:r>
        <w:rPr>
          <w:rFonts w:hint="eastAsia" w:ascii="仿宋" w:hAnsi="仿宋" w:cs="仿宋"/>
        </w:rPr>
        <w:t>3、洗衣机能效等级：≦3级；</w:t>
      </w:r>
    </w:p>
    <w:p w14:paraId="63F48DD6">
      <w:pPr>
        <w:spacing w:line="360" w:lineRule="auto"/>
        <w:ind w:firstLine="480" w:firstLineChars="200"/>
        <w:jc w:val="both"/>
        <w:rPr>
          <w:rFonts w:ascii="仿宋" w:hAnsi="仿宋" w:cs="仿宋"/>
        </w:rPr>
      </w:pPr>
      <w:r>
        <w:rPr>
          <w:rFonts w:hint="eastAsia" w:ascii="仿宋" w:hAnsi="仿宋" w:cs="仿宋"/>
        </w:rPr>
        <w:t>4、洗衣机洗净比：≧0.8；</w:t>
      </w:r>
    </w:p>
    <w:p w14:paraId="5BF67743">
      <w:pPr>
        <w:spacing w:line="360" w:lineRule="auto"/>
        <w:ind w:firstLine="480" w:firstLineChars="200"/>
        <w:jc w:val="both"/>
        <w:rPr>
          <w:rFonts w:ascii="仿宋" w:hAnsi="仿宋" w:cs="仿宋"/>
        </w:rPr>
      </w:pPr>
      <w:r>
        <w:rPr>
          <w:rFonts w:hint="eastAsia" w:ascii="仿宋" w:hAnsi="仿宋" w:cs="仿宋"/>
        </w:rPr>
        <w:t>5、洗衣机内桶材料：PP、PVC、不锈钢、玻璃纤维、高分子内桶</w:t>
      </w:r>
    </w:p>
    <w:p w14:paraId="0046DA09">
      <w:pPr>
        <w:spacing w:line="360" w:lineRule="auto"/>
        <w:ind w:firstLine="480" w:firstLineChars="200"/>
        <w:jc w:val="both"/>
        <w:rPr>
          <w:rFonts w:ascii="仿宋" w:hAnsi="仿宋" w:cs="仿宋"/>
        </w:rPr>
      </w:pPr>
      <w:r>
        <w:rPr>
          <w:rFonts w:hint="eastAsia" w:ascii="仿宋" w:hAnsi="仿宋" w:cs="仿宋"/>
        </w:rPr>
        <w:t>6、防水等级：≧IPX4</w:t>
      </w:r>
    </w:p>
    <w:p w14:paraId="099F7039">
      <w:pPr>
        <w:spacing w:line="360" w:lineRule="auto"/>
        <w:ind w:firstLine="480" w:firstLineChars="200"/>
        <w:jc w:val="both"/>
        <w:rPr>
          <w:rFonts w:ascii="仿宋" w:hAnsi="仿宋" w:cs="仿宋"/>
        </w:rPr>
      </w:pPr>
      <w:r>
        <w:rPr>
          <w:rFonts w:hint="eastAsia" w:ascii="仿宋" w:hAnsi="仿宋" w:cs="仿宋"/>
        </w:rPr>
        <w:t>7、洗衣机具备物理防止交叉感染功能，避免水流交互，有效解决自助洗衣机卫生问题；</w:t>
      </w:r>
    </w:p>
    <w:p w14:paraId="27360CB6">
      <w:pPr>
        <w:spacing w:line="360" w:lineRule="auto"/>
        <w:ind w:firstLine="480" w:firstLineChars="200"/>
        <w:jc w:val="both"/>
        <w:rPr>
          <w:rFonts w:ascii="仿宋" w:hAnsi="仿宋" w:cs="仿宋"/>
        </w:rPr>
      </w:pPr>
      <w:r>
        <w:rPr>
          <w:rFonts w:hint="eastAsia" w:ascii="仿宋" w:hAnsi="仿宋" w:cs="仿宋"/>
        </w:rPr>
        <w:t>8、洗衣机洗涤噪音：≦55dB，脱水噪音：≦62.5dB，可提供检测报告复印件；</w:t>
      </w:r>
    </w:p>
    <w:p w14:paraId="6DB45548">
      <w:pPr>
        <w:spacing w:line="360" w:lineRule="auto"/>
        <w:ind w:firstLine="480" w:firstLineChars="200"/>
        <w:jc w:val="both"/>
        <w:rPr>
          <w:rFonts w:ascii="仿宋" w:hAnsi="仿宋" w:cs="仿宋"/>
        </w:rPr>
      </w:pPr>
      <w:r>
        <w:rPr>
          <w:rFonts w:hint="eastAsia" w:ascii="仿宋" w:hAnsi="仿宋" w:cs="仿宋"/>
        </w:rPr>
        <w:t>9、洗衣机除菌率＞99.99%，可提供检测报告复印件；</w:t>
      </w:r>
    </w:p>
    <w:p w14:paraId="1A445CE2">
      <w:pPr>
        <w:ind w:firstLine="480" w:firstLineChars="200"/>
        <w:rPr>
          <w:rFonts w:ascii="仿宋" w:hAnsi="仿宋" w:cs="仿宋"/>
        </w:rPr>
      </w:pPr>
      <w:r>
        <w:rPr>
          <w:rFonts w:hint="eastAsia" w:ascii="仿宋" w:hAnsi="仿宋" w:cs="仿宋"/>
        </w:rPr>
        <w:t>10、洗衣机无故障运行周期：≧15000次，可提供相关检测报告复印件；</w:t>
      </w:r>
    </w:p>
    <w:p w14:paraId="5B0DECF2">
      <w:pPr>
        <w:rPr>
          <w:rFonts w:ascii="仿宋" w:hAnsi="仿宋" w:cs="仿宋"/>
        </w:rPr>
      </w:pPr>
      <w:r>
        <w:rPr>
          <w:rFonts w:hint="eastAsia" w:ascii="仿宋" w:hAnsi="仿宋" w:cs="仿宋"/>
        </w:rPr>
        <w:br w:type="page"/>
      </w:r>
      <w:bookmarkStart w:id="1" w:name="_GoBack"/>
      <w:bookmarkEnd w:id="1"/>
    </w:p>
    <w:p w14:paraId="0F6ECA2D">
      <w:pPr>
        <w:pStyle w:val="3"/>
      </w:pPr>
      <w:r>
        <w:rPr>
          <w:rFonts w:hint="eastAsia"/>
        </w:rPr>
        <w:t>自助洗衣机服务单位考核办法</w:t>
      </w:r>
    </w:p>
    <w:p w14:paraId="189B48AC">
      <w:pPr>
        <w:pStyle w:val="3"/>
        <w:ind w:firstLine="480" w:firstLineChars="200"/>
        <w:jc w:val="left"/>
        <w:rPr>
          <w:b w:val="0"/>
          <w:kern w:val="2"/>
          <w:sz w:val="24"/>
        </w:rPr>
      </w:pPr>
      <w:r>
        <w:rPr>
          <w:rFonts w:hint="eastAsia"/>
          <w:b w:val="0"/>
          <w:kern w:val="2"/>
          <w:sz w:val="24"/>
        </w:rPr>
        <w:t>一、总则​</w:t>
      </w:r>
    </w:p>
    <w:p w14:paraId="7D247367">
      <w:pPr>
        <w:pStyle w:val="3"/>
        <w:ind w:firstLine="480" w:firstLineChars="200"/>
        <w:jc w:val="left"/>
        <w:rPr>
          <w:b w:val="0"/>
          <w:kern w:val="2"/>
          <w:sz w:val="24"/>
        </w:rPr>
      </w:pPr>
      <w:r>
        <w:rPr>
          <w:rFonts w:hint="eastAsia"/>
          <w:b w:val="0"/>
          <w:kern w:val="2"/>
          <w:sz w:val="24"/>
        </w:rPr>
        <w:t>（一）考核目的​</w:t>
      </w:r>
    </w:p>
    <w:p w14:paraId="75A0B0DE">
      <w:pPr>
        <w:pStyle w:val="3"/>
        <w:ind w:firstLine="480" w:firstLineChars="200"/>
        <w:jc w:val="left"/>
        <w:rPr>
          <w:b w:val="0"/>
          <w:kern w:val="2"/>
          <w:sz w:val="24"/>
        </w:rPr>
      </w:pPr>
      <w:r>
        <w:rPr>
          <w:rFonts w:hint="eastAsia"/>
          <w:b w:val="0"/>
          <w:kern w:val="2"/>
          <w:sz w:val="24"/>
        </w:rPr>
        <w:t>为规范学校内自助洗衣机服务单位的运营管理，提升服务质量，保障学生的洗衣需求和合法权益，营造安全、卫生、便捷的洗衣环境，特制定本考核办法。通过科学合理的考核，激励服务单位持续优化服务，更好地为广大学生服务。​</w:t>
      </w:r>
    </w:p>
    <w:p w14:paraId="4A11CF2C">
      <w:pPr>
        <w:pStyle w:val="3"/>
        <w:ind w:firstLine="480" w:firstLineChars="200"/>
        <w:jc w:val="left"/>
        <w:rPr>
          <w:b w:val="0"/>
          <w:kern w:val="2"/>
          <w:sz w:val="24"/>
        </w:rPr>
      </w:pPr>
      <w:r>
        <w:rPr>
          <w:rFonts w:hint="eastAsia"/>
          <w:b w:val="0"/>
          <w:kern w:val="2"/>
          <w:sz w:val="24"/>
        </w:rPr>
        <w:t>（二）考核范围​</w:t>
      </w:r>
    </w:p>
    <w:p w14:paraId="61992A5E">
      <w:pPr>
        <w:pStyle w:val="3"/>
        <w:ind w:firstLine="480" w:firstLineChars="200"/>
        <w:jc w:val="left"/>
        <w:rPr>
          <w:b w:val="0"/>
          <w:kern w:val="2"/>
          <w:sz w:val="24"/>
        </w:rPr>
      </w:pPr>
      <w:r>
        <w:rPr>
          <w:rFonts w:hint="eastAsia"/>
          <w:b w:val="0"/>
          <w:kern w:val="2"/>
          <w:sz w:val="24"/>
        </w:rPr>
        <w:t>本考核办法适用于在学校内提供自助洗衣机服务的所有单位。​</w:t>
      </w:r>
    </w:p>
    <w:p w14:paraId="67533673">
      <w:pPr>
        <w:pStyle w:val="3"/>
        <w:ind w:firstLine="480" w:firstLineChars="200"/>
        <w:jc w:val="left"/>
        <w:rPr>
          <w:b w:val="0"/>
          <w:kern w:val="2"/>
          <w:sz w:val="24"/>
        </w:rPr>
      </w:pPr>
      <w:r>
        <w:rPr>
          <w:rFonts w:hint="eastAsia"/>
          <w:b w:val="0"/>
          <w:kern w:val="2"/>
          <w:sz w:val="24"/>
        </w:rPr>
        <w:t>二、考核内容​</w:t>
      </w:r>
    </w:p>
    <w:p w14:paraId="6F4C037C">
      <w:pPr>
        <w:pStyle w:val="3"/>
        <w:ind w:firstLine="480" w:firstLineChars="200"/>
        <w:jc w:val="left"/>
        <w:rPr>
          <w:b w:val="0"/>
          <w:kern w:val="2"/>
          <w:sz w:val="24"/>
        </w:rPr>
      </w:pPr>
      <w:r>
        <w:rPr>
          <w:rFonts w:hint="eastAsia"/>
          <w:b w:val="0"/>
          <w:kern w:val="2"/>
          <w:sz w:val="24"/>
        </w:rPr>
        <w:t>考核内容围绕设备状况、服务质量、卫生环境、安全管理和学生反馈五个方面展开，结合学校环境和学生群体特点，具体要求如下：​</w:t>
      </w:r>
    </w:p>
    <w:tbl>
      <w:tblPr>
        <w:tblStyle w:val="6"/>
        <w:tblW w:w="5546" w:type="pct"/>
        <w:tblInd w:w="-389" w:type="dxa"/>
        <w:tblLayout w:type="fixed"/>
        <w:tblCellMar>
          <w:top w:w="0" w:type="dxa"/>
          <w:left w:w="108" w:type="dxa"/>
          <w:bottom w:w="0" w:type="dxa"/>
          <w:right w:w="108" w:type="dxa"/>
        </w:tblCellMar>
      </w:tblPr>
      <w:tblGrid>
        <w:gridCol w:w="431"/>
        <w:gridCol w:w="1393"/>
        <w:gridCol w:w="4380"/>
        <w:gridCol w:w="1919"/>
        <w:gridCol w:w="1330"/>
      </w:tblGrid>
      <w:tr w14:paraId="251E190C">
        <w:tblPrEx>
          <w:tblCellMar>
            <w:top w:w="0" w:type="dxa"/>
            <w:left w:w="108" w:type="dxa"/>
            <w:bottom w:w="0" w:type="dxa"/>
            <w:right w:w="108" w:type="dxa"/>
          </w:tblCellMar>
        </w:tblPrEx>
        <w:trPr>
          <w:trHeight w:val="897" w:hRule="atLeast"/>
        </w:trPr>
        <w:tc>
          <w:tcPr>
            <w:tcW w:w="227" w:type="pct"/>
            <w:tcBorders>
              <w:top w:val="single" w:color="000000" w:sz="4" w:space="0"/>
              <w:left w:val="single" w:color="000000" w:sz="4" w:space="0"/>
              <w:bottom w:val="single" w:color="000000" w:sz="4" w:space="0"/>
              <w:right w:val="single" w:color="000000" w:sz="4" w:space="0"/>
            </w:tcBorders>
            <w:vAlign w:val="center"/>
          </w:tcPr>
          <w:p w14:paraId="74E64CF1">
            <w:pPr>
              <w:widowControl/>
              <w:jc w:val="center"/>
              <w:textAlignment w:val="center"/>
              <w:rPr>
                <w:rFonts w:ascii="仿宋" w:hAnsi="仿宋" w:cs="仿宋"/>
                <w:b/>
                <w:bCs/>
                <w:color w:val="000000"/>
              </w:rPr>
            </w:pPr>
            <w:r>
              <w:rPr>
                <w:rFonts w:hint="eastAsia" w:ascii="仿宋" w:hAnsi="仿宋" w:cs="仿宋"/>
                <w:b/>
                <w:bCs/>
                <w:color w:val="000000"/>
                <w:kern w:val="0"/>
                <w:lang w:bidi="ar"/>
              </w:rPr>
              <w:t>序号</w:t>
            </w:r>
          </w:p>
        </w:tc>
        <w:tc>
          <w:tcPr>
            <w:tcW w:w="736" w:type="pct"/>
            <w:tcBorders>
              <w:top w:val="single" w:color="000000" w:sz="4" w:space="0"/>
              <w:left w:val="single" w:color="000000" w:sz="4" w:space="0"/>
              <w:bottom w:val="single" w:color="000000" w:sz="4" w:space="0"/>
              <w:right w:val="single" w:color="000000" w:sz="4" w:space="0"/>
            </w:tcBorders>
            <w:vAlign w:val="center"/>
          </w:tcPr>
          <w:p w14:paraId="7C164ACD">
            <w:pPr>
              <w:widowControl/>
              <w:jc w:val="center"/>
              <w:textAlignment w:val="center"/>
              <w:rPr>
                <w:rFonts w:ascii="仿宋" w:hAnsi="仿宋" w:cs="仿宋"/>
                <w:b/>
                <w:bCs/>
                <w:color w:val="000000"/>
              </w:rPr>
            </w:pPr>
            <w:r>
              <w:rPr>
                <w:rFonts w:hint="eastAsia" w:ascii="仿宋" w:hAnsi="仿宋" w:cs="仿宋"/>
                <w:b/>
                <w:bCs/>
                <w:color w:val="000000"/>
                <w:kern w:val="0"/>
                <w:lang w:bidi="ar"/>
              </w:rPr>
              <w:t>评价内容</w:t>
            </w:r>
          </w:p>
        </w:tc>
        <w:tc>
          <w:tcPr>
            <w:tcW w:w="2316" w:type="pct"/>
            <w:tcBorders>
              <w:top w:val="single" w:color="000000" w:sz="4" w:space="0"/>
              <w:left w:val="single" w:color="000000" w:sz="4" w:space="0"/>
              <w:bottom w:val="single" w:color="000000" w:sz="4" w:space="0"/>
              <w:right w:val="nil"/>
            </w:tcBorders>
            <w:vAlign w:val="center"/>
          </w:tcPr>
          <w:p w14:paraId="3A6B5637">
            <w:pPr>
              <w:widowControl/>
              <w:jc w:val="center"/>
              <w:textAlignment w:val="center"/>
              <w:rPr>
                <w:rFonts w:ascii="仿宋" w:hAnsi="仿宋" w:cs="仿宋"/>
                <w:b/>
                <w:bCs/>
                <w:color w:val="000000"/>
              </w:rPr>
            </w:pPr>
            <w:r>
              <w:rPr>
                <w:rFonts w:hint="eastAsia" w:ascii="仿宋" w:hAnsi="仿宋" w:cs="仿宋"/>
                <w:b/>
                <w:bCs/>
                <w:color w:val="000000"/>
                <w:kern w:val="0"/>
                <w:lang w:bidi="ar"/>
              </w:rPr>
              <w:t>评价项目</w:t>
            </w:r>
          </w:p>
        </w:tc>
        <w:tc>
          <w:tcPr>
            <w:tcW w:w="1015" w:type="pct"/>
            <w:tcBorders>
              <w:top w:val="single" w:color="000000" w:sz="4" w:space="0"/>
              <w:left w:val="single" w:color="000000" w:sz="4" w:space="0"/>
              <w:bottom w:val="single" w:color="000000" w:sz="4" w:space="0"/>
              <w:right w:val="single" w:color="000000" w:sz="4" w:space="0"/>
            </w:tcBorders>
            <w:vAlign w:val="center"/>
          </w:tcPr>
          <w:p w14:paraId="76FE0B6E">
            <w:pPr>
              <w:widowControl/>
              <w:jc w:val="center"/>
              <w:textAlignment w:val="center"/>
              <w:rPr>
                <w:rFonts w:hint="eastAsia" w:ascii="仿宋" w:hAnsi="仿宋" w:eastAsia="仿宋" w:cs="仿宋"/>
                <w:b/>
                <w:bCs/>
                <w:color w:val="000000"/>
                <w:kern w:val="0"/>
                <w:lang w:val="en-US" w:eastAsia="zh-CN" w:bidi="ar"/>
              </w:rPr>
            </w:pPr>
            <w:r>
              <w:rPr>
                <w:rFonts w:hint="eastAsia" w:ascii="仿宋" w:hAnsi="仿宋" w:cs="仿宋"/>
                <w:b/>
                <w:bCs/>
                <w:color w:val="000000"/>
                <w:kern w:val="0"/>
                <w:lang w:val="en-US" w:eastAsia="zh-CN" w:bidi="ar"/>
              </w:rPr>
              <w:t>考核分值</w:t>
            </w:r>
          </w:p>
        </w:tc>
        <w:tc>
          <w:tcPr>
            <w:tcW w:w="703" w:type="pct"/>
            <w:tcBorders>
              <w:top w:val="single" w:color="000000" w:sz="4" w:space="0"/>
              <w:left w:val="single" w:color="000000" w:sz="4" w:space="0"/>
              <w:bottom w:val="single" w:color="000000" w:sz="4" w:space="0"/>
              <w:right w:val="single" w:color="000000" w:sz="4" w:space="0"/>
            </w:tcBorders>
            <w:vAlign w:val="center"/>
          </w:tcPr>
          <w:p w14:paraId="1223AC0A">
            <w:pPr>
              <w:widowControl/>
              <w:jc w:val="center"/>
              <w:textAlignment w:val="center"/>
              <w:rPr>
                <w:rFonts w:ascii="仿宋" w:hAnsi="仿宋" w:cs="仿宋"/>
                <w:b/>
                <w:bCs/>
                <w:color w:val="000000"/>
              </w:rPr>
            </w:pPr>
            <w:r>
              <w:rPr>
                <w:rFonts w:hint="eastAsia" w:ascii="仿宋" w:hAnsi="仿宋" w:cs="仿宋"/>
                <w:b/>
                <w:bCs/>
                <w:color w:val="000000"/>
                <w:kern w:val="0"/>
                <w:lang w:bidi="ar"/>
              </w:rPr>
              <w:t>检查评价</w:t>
            </w:r>
            <w:r>
              <w:rPr>
                <w:rFonts w:hint="eastAsia" w:ascii="仿宋" w:hAnsi="仿宋" w:cs="仿宋"/>
                <w:b/>
                <w:bCs/>
                <w:color w:val="000000"/>
                <w:kern w:val="0"/>
                <w:lang w:bidi="ar"/>
              </w:rPr>
              <w:br w:type="textWrapping"/>
            </w:r>
            <w:r>
              <w:rPr>
                <w:rFonts w:hint="eastAsia" w:ascii="仿宋" w:hAnsi="仿宋" w:cs="仿宋"/>
                <w:b/>
                <w:bCs/>
                <w:color w:val="000000"/>
                <w:kern w:val="0"/>
                <w:lang w:bidi="ar"/>
              </w:rPr>
              <w:t>方法</w:t>
            </w:r>
          </w:p>
        </w:tc>
      </w:tr>
      <w:tr w14:paraId="2AAD3028">
        <w:tblPrEx>
          <w:tblCellMar>
            <w:top w:w="0" w:type="dxa"/>
            <w:left w:w="108" w:type="dxa"/>
            <w:bottom w:w="0" w:type="dxa"/>
            <w:right w:w="108" w:type="dxa"/>
          </w:tblCellMar>
        </w:tblPrEx>
        <w:trPr>
          <w:trHeight w:val="453" w:hRule="atLeast"/>
        </w:trPr>
        <w:tc>
          <w:tcPr>
            <w:tcW w:w="227" w:type="pct"/>
            <w:vMerge w:val="restart"/>
            <w:tcBorders>
              <w:top w:val="single" w:color="000000" w:sz="4" w:space="0"/>
              <w:left w:val="single" w:color="000000" w:sz="4" w:space="0"/>
              <w:bottom w:val="single" w:color="000000" w:sz="4" w:space="0"/>
              <w:right w:val="single" w:color="000000" w:sz="4" w:space="0"/>
            </w:tcBorders>
            <w:vAlign w:val="center"/>
          </w:tcPr>
          <w:p w14:paraId="64EA5289">
            <w:pPr>
              <w:widowControl/>
              <w:jc w:val="center"/>
              <w:textAlignment w:val="center"/>
              <w:rPr>
                <w:rFonts w:ascii="仿宋" w:hAnsi="仿宋" w:cs="仿宋"/>
                <w:color w:val="000000"/>
              </w:rPr>
            </w:pPr>
            <w:r>
              <w:rPr>
                <w:rFonts w:hint="eastAsia" w:ascii="仿宋" w:hAnsi="仿宋" w:cs="仿宋"/>
                <w:color w:val="000000"/>
                <w:kern w:val="0"/>
                <w:lang w:bidi="ar"/>
              </w:rPr>
              <w:t>1</w:t>
            </w:r>
          </w:p>
        </w:tc>
        <w:tc>
          <w:tcPr>
            <w:tcW w:w="736" w:type="pct"/>
            <w:vMerge w:val="restart"/>
            <w:tcBorders>
              <w:top w:val="single" w:color="000000" w:sz="4" w:space="0"/>
              <w:left w:val="single" w:color="000000" w:sz="4" w:space="0"/>
              <w:bottom w:val="single" w:color="000000" w:sz="4" w:space="0"/>
              <w:right w:val="single" w:color="000000" w:sz="4" w:space="0"/>
            </w:tcBorders>
            <w:vAlign w:val="center"/>
          </w:tcPr>
          <w:p w14:paraId="4BD4E94D">
            <w:pPr>
              <w:widowControl/>
              <w:jc w:val="center"/>
              <w:textAlignment w:val="center"/>
              <w:rPr>
                <w:rFonts w:ascii="仿宋" w:hAnsi="仿宋" w:cs="仿宋"/>
                <w:color w:val="000000"/>
              </w:rPr>
            </w:pPr>
            <w:r>
              <w:rPr>
                <w:rFonts w:hint="eastAsia" w:ascii="仿宋" w:hAnsi="仿宋" w:cs="仿宋"/>
                <w:color w:val="000000"/>
                <w:kern w:val="0"/>
                <w:lang w:bidi="ar"/>
              </w:rPr>
              <w:t>设备状况（每</w:t>
            </w:r>
            <w:r>
              <w:rPr>
                <w:rFonts w:hint="eastAsia" w:ascii="仿宋" w:hAnsi="仿宋" w:cs="仿宋"/>
                <w:color w:val="000000"/>
                <w:kern w:val="0"/>
                <w:lang w:val="en-US" w:eastAsia="zh-CN" w:bidi="ar"/>
              </w:rPr>
              <w:t>项</w:t>
            </w:r>
            <w:r>
              <w:rPr>
                <w:rFonts w:hint="eastAsia" w:ascii="仿宋" w:hAnsi="仿宋" w:cs="仿宋"/>
                <w:color w:val="000000"/>
                <w:kern w:val="0"/>
                <w:lang w:bidi="ar"/>
              </w:rPr>
              <w:t xml:space="preserve"> 5 分，共 20 </w:t>
            </w:r>
          </w:p>
        </w:tc>
        <w:tc>
          <w:tcPr>
            <w:tcW w:w="2316" w:type="pct"/>
            <w:tcBorders>
              <w:top w:val="single" w:color="000000" w:sz="4" w:space="0"/>
              <w:left w:val="single" w:color="000000" w:sz="4" w:space="0"/>
              <w:bottom w:val="single" w:color="000000" w:sz="4" w:space="0"/>
              <w:right w:val="nil"/>
            </w:tcBorders>
            <w:vAlign w:val="center"/>
          </w:tcPr>
          <w:p w14:paraId="65E11AA7">
            <w:pPr>
              <w:widowControl/>
              <w:jc w:val="center"/>
              <w:textAlignment w:val="center"/>
              <w:rPr>
                <w:rFonts w:ascii="仿宋" w:hAnsi="仿宋" w:cs="仿宋"/>
                <w:color w:val="000000"/>
              </w:rPr>
            </w:pPr>
            <w:r>
              <w:rPr>
                <w:rFonts w:hint="eastAsia" w:ascii="仿宋" w:hAnsi="仿宋" w:cs="仿宋"/>
                <w:color w:val="000000"/>
                <w:kern w:val="0"/>
                <w:lang w:bidi="ar"/>
              </w:rPr>
              <w:t>1. 设备完好率（洗衣机正常使用情况）</w:t>
            </w:r>
          </w:p>
        </w:tc>
        <w:tc>
          <w:tcPr>
            <w:tcW w:w="1015" w:type="pct"/>
            <w:vMerge w:val="restart"/>
            <w:tcBorders>
              <w:top w:val="single" w:color="000000" w:sz="4" w:space="0"/>
              <w:left w:val="single" w:color="000000" w:sz="4" w:space="0"/>
              <w:right w:val="single" w:color="000000" w:sz="4" w:space="0"/>
            </w:tcBorders>
            <w:vAlign w:val="center"/>
          </w:tcPr>
          <w:p w14:paraId="28DC3EFF">
            <w:pPr>
              <w:widowControl/>
              <w:jc w:val="center"/>
              <w:textAlignment w:val="center"/>
              <w:rPr>
                <w:rFonts w:hint="default" w:ascii="仿宋" w:hAnsi="仿宋" w:eastAsia="仿宋" w:cs="仿宋"/>
                <w:color w:val="000000"/>
                <w:kern w:val="0"/>
                <w:lang w:val="en-US" w:eastAsia="zh-CN" w:bidi="ar"/>
              </w:rPr>
            </w:pPr>
            <w:r>
              <w:rPr>
                <w:rFonts w:hint="eastAsia" w:ascii="仿宋" w:hAnsi="仿宋" w:cs="仿宋"/>
                <w:color w:val="000000"/>
                <w:kern w:val="0"/>
                <w:lang w:val="en-US" w:eastAsia="zh-CN" w:bidi="ar"/>
              </w:rPr>
              <w:t>每项服务情况按优5分、良4分、中3分、一般2分、基本合格1分、差0分</w:t>
            </w:r>
          </w:p>
        </w:tc>
        <w:tc>
          <w:tcPr>
            <w:tcW w:w="703" w:type="pct"/>
            <w:vMerge w:val="restart"/>
            <w:tcBorders>
              <w:top w:val="single" w:color="000000" w:sz="4" w:space="0"/>
              <w:left w:val="single" w:color="000000" w:sz="4" w:space="0"/>
              <w:bottom w:val="single" w:color="000000" w:sz="4" w:space="0"/>
              <w:right w:val="single" w:color="000000" w:sz="4" w:space="0"/>
            </w:tcBorders>
            <w:vAlign w:val="center"/>
          </w:tcPr>
          <w:p w14:paraId="73DE12E5">
            <w:pPr>
              <w:widowControl/>
              <w:jc w:val="center"/>
              <w:textAlignment w:val="center"/>
              <w:rPr>
                <w:rFonts w:ascii="仿宋" w:hAnsi="仿宋" w:cs="仿宋"/>
                <w:color w:val="000000"/>
              </w:rPr>
            </w:pPr>
            <w:r>
              <w:rPr>
                <w:rFonts w:hint="eastAsia" w:ascii="仿宋" w:hAnsi="仿宋" w:cs="仿宋"/>
                <w:color w:val="000000"/>
                <w:kern w:val="0"/>
                <w:lang w:bidi="ar"/>
              </w:rPr>
              <w:t>通过现场确定或问卷调查</w:t>
            </w:r>
          </w:p>
        </w:tc>
      </w:tr>
      <w:tr w14:paraId="435C8B63">
        <w:tblPrEx>
          <w:tblCellMar>
            <w:top w:w="0" w:type="dxa"/>
            <w:left w:w="108" w:type="dxa"/>
            <w:bottom w:w="0" w:type="dxa"/>
            <w:right w:w="108" w:type="dxa"/>
          </w:tblCellMar>
        </w:tblPrEx>
        <w:trPr>
          <w:trHeight w:val="897" w:hRule="atLeast"/>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0A2C22F6">
            <w:pPr>
              <w:jc w:val="center"/>
              <w:rPr>
                <w:rFonts w:ascii="仿宋" w:hAnsi="仿宋" w:cs="仿宋"/>
                <w:color w:val="000000"/>
              </w:rPr>
            </w:pPr>
          </w:p>
        </w:tc>
        <w:tc>
          <w:tcPr>
            <w:tcW w:w="736" w:type="pct"/>
            <w:vMerge w:val="continue"/>
            <w:tcBorders>
              <w:top w:val="single" w:color="000000" w:sz="4" w:space="0"/>
              <w:left w:val="single" w:color="000000" w:sz="4" w:space="0"/>
              <w:bottom w:val="single" w:color="000000" w:sz="4" w:space="0"/>
              <w:right w:val="single" w:color="000000" w:sz="4" w:space="0"/>
            </w:tcBorders>
            <w:vAlign w:val="center"/>
          </w:tcPr>
          <w:p w14:paraId="2415FEC8">
            <w:pPr>
              <w:jc w:val="center"/>
              <w:rPr>
                <w:rFonts w:ascii="仿宋" w:hAnsi="仿宋" w:cs="仿宋"/>
                <w:color w:val="000000"/>
              </w:rPr>
            </w:pPr>
          </w:p>
        </w:tc>
        <w:tc>
          <w:tcPr>
            <w:tcW w:w="2316" w:type="pct"/>
            <w:tcBorders>
              <w:top w:val="single" w:color="000000" w:sz="4" w:space="0"/>
              <w:left w:val="single" w:color="000000" w:sz="4" w:space="0"/>
              <w:bottom w:val="single" w:color="000000" w:sz="4" w:space="0"/>
              <w:right w:val="nil"/>
            </w:tcBorders>
            <w:vAlign w:val="center"/>
          </w:tcPr>
          <w:p w14:paraId="0C98EE20">
            <w:pPr>
              <w:widowControl/>
              <w:jc w:val="center"/>
              <w:textAlignment w:val="center"/>
              <w:rPr>
                <w:rFonts w:ascii="仿宋" w:hAnsi="仿宋" w:cs="仿宋"/>
                <w:color w:val="000000"/>
              </w:rPr>
            </w:pPr>
            <w:r>
              <w:rPr>
                <w:rFonts w:hint="eastAsia" w:ascii="仿宋" w:hAnsi="仿宋" w:cs="仿宋"/>
                <w:color w:val="000000"/>
                <w:kern w:val="0"/>
                <w:lang w:bidi="ar"/>
              </w:rPr>
              <w:t>2. 运行效果（洗涤、脱水效果，有无残留污渍、异味）</w:t>
            </w:r>
          </w:p>
        </w:tc>
        <w:tc>
          <w:tcPr>
            <w:tcW w:w="1015" w:type="pct"/>
            <w:vMerge w:val="continue"/>
            <w:tcBorders>
              <w:left w:val="single" w:color="000000" w:sz="4" w:space="0"/>
              <w:right w:val="single" w:color="000000" w:sz="4" w:space="0"/>
            </w:tcBorders>
            <w:vAlign w:val="center"/>
          </w:tcPr>
          <w:p w14:paraId="11B26ADC">
            <w:pPr>
              <w:jc w:val="center"/>
              <w:rPr>
                <w:rFonts w:ascii="仿宋" w:hAnsi="仿宋" w:cs="仿宋"/>
                <w:color w:val="000000"/>
              </w:rPr>
            </w:pPr>
          </w:p>
        </w:tc>
        <w:tc>
          <w:tcPr>
            <w:tcW w:w="703" w:type="pct"/>
            <w:vMerge w:val="continue"/>
            <w:tcBorders>
              <w:top w:val="single" w:color="000000" w:sz="4" w:space="0"/>
              <w:left w:val="single" w:color="000000" w:sz="4" w:space="0"/>
              <w:bottom w:val="single" w:color="000000" w:sz="4" w:space="0"/>
              <w:right w:val="single" w:color="000000" w:sz="4" w:space="0"/>
            </w:tcBorders>
            <w:vAlign w:val="center"/>
          </w:tcPr>
          <w:p w14:paraId="1D7A474A">
            <w:pPr>
              <w:jc w:val="center"/>
              <w:rPr>
                <w:rFonts w:ascii="仿宋" w:hAnsi="仿宋" w:cs="仿宋"/>
                <w:color w:val="000000"/>
              </w:rPr>
            </w:pPr>
          </w:p>
        </w:tc>
      </w:tr>
      <w:tr w14:paraId="61A86480">
        <w:tblPrEx>
          <w:tblCellMar>
            <w:top w:w="0" w:type="dxa"/>
            <w:left w:w="108" w:type="dxa"/>
            <w:bottom w:w="0" w:type="dxa"/>
            <w:right w:w="108" w:type="dxa"/>
          </w:tblCellMar>
        </w:tblPrEx>
        <w:trPr>
          <w:trHeight w:val="453" w:hRule="atLeast"/>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1573830C">
            <w:pPr>
              <w:jc w:val="center"/>
              <w:rPr>
                <w:rFonts w:ascii="仿宋" w:hAnsi="仿宋" w:cs="仿宋"/>
                <w:color w:val="000000"/>
              </w:rPr>
            </w:pPr>
          </w:p>
        </w:tc>
        <w:tc>
          <w:tcPr>
            <w:tcW w:w="736" w:type="pct"/>
            <w:vMerge w:val="continue"/>
            <w:tcBorders>
              <w:top w:val="single" w:color="000000" w:sz="4" w:space="0"/>
              <w:left w:val="single" w:color="000000" w:sz="4" w:space="0"/>
              <w:bottom w:val="single" w:color="000000" w:sz="4" w:space="0"/>
              <w:right w:val="single" w:color="000000" w:sz="4" w:space="0"/>
            </w:tcBorders>
            <w:vAlign w:val="center"/>
          </w:tcPr>
          <w:p w14:paraId="112B72BD">
            <w:pPr>
              <w:jc w:val="center"/>
              <w:rPr>
                <w:rFonts w:ascii="仿宋" w:hAnsi="仿宋" w:cs="仿宋"/>
                <w:color w:val="000000"/>
              </w:rPr>
            </w:pPr>
          </w:p>
        </w:tc>
        <w:tc>
          <w:tcPr>
            <w:tcW w:w="2316" w:type="pct"/>
            <w:tcBorders>
              <w:top w:val="single" w:color="000000" w:sz="4" w:space="0"/>
              <w:left w:val="single" w:color="000000" w:sz="4" w:space="0"/>
              <w:bottom w:val="single" w:color="000000" w:sz="4" w:space="0"/>
              <w:right w:val="nil"/>
            </w:tcBorders>
            <w:vAlign w:val="center"/>
          </w:tcPr>
          <w:p w14:paraId="681DF25D">
            <w:pPr>
              <w:widowControl/>
              <w:jc w:val="center"/>
              <w:textAlignment w:val="center"/>
              <w:rPr>
                <w:rFonts w:ascii="仿宋" w:hAnsi="仿宋" w:cs="仿宋"/>
                <w:color w:val="000000"/>
              </w:rPr>
            </w:pPr>
            <w:r>
              <w:rPr>
                <w:rFonts w:hint="eastAsia" w:ascii="仿宋" w:hAnsi="仿宋" w:cs="仿宋"/>
                <w:color w:val="000000"/>
                <w:kern w:val="0"/>
                <w:lang w:bidi="ar"/>
              </w:rPr>
              <w:t>3. 设备维护及时性（故障后修复速度）</w:t>
            </w:r>
          </w:p>
        </w:tc>
        <w:tc>
          <w:tcPr>
            <w:tcW w:w="1015" w:type="pct"/>
            <w:vMerge w:val="continue"/>
            <w:tcBorders>
              <w:left w:val="single" w:color="000000" w:sz="4" w:space="0"/>
              <w:right w:val="single" w:color="000000" w:sz="4" w:space="0"/>
            </w:tcBorders>
            <w:vAlign w:val="center"/>
          </w:tcPr>
          <w:p w14:paraId="6BFD7530">
            <w:pPr>
              <w:jc w:val="center"/>
              <w:rPr>
                <w:rFonts w:ascii="仿宋" w:hAnsi="仿宋" w:cs="仿宋"/>
                <w:color w:val="000000"/>
              </w:rPr>
            </w:pPr>
          </w:p>
        </w:tc>
        <w:tc>
          <w:tcPr>
            <w:tcW w:w="703" w:type="pct"/>
            <w:vMerge w:val="continue"/>
            <w:tcBorders>
              <w:top w:val="single" w:color="000000" w:sz="4" w:space="0"/>
              <w:left w:val="single" w:color="000000" w:sz="4" w:space="0"/>
              <w:bottom w:val="single" w:color="000000" w:sz="4" w:space="0"/>
              <w:right w:val="single" w:color="000000" w:sz="4" w:space="0"/>
            </w:tcBorders>
            <w:vAlign w:val="center"/>
          </w:tcPr>
          <w:p w14:paraId="69014A52">
            <w:pPr>
              <w:jc w:val="center"/>
              <w:rPr>
                <w:rFonts w:ascii="仿宋" w:hAnsi="仿宋" w:cs="仿宋"/>
                <w:color w:val="000000"/>
              </w:rPr>
            </w:pPr>
          </w:p>
        </w:tc>
      </w:tr>
      <w:tr w14:paraId="3B54D58A">
        <w:tblPrEx>
          <w:tblCellMar>
            <w:top w:w="0" w:type="dxa"/>
            <w:left w:w="108" w:type="dxa"/>
            <w:bottom w:w="0" w:type="dxa"/>
            <w:right w:w="108" w:type="dxa"/>
          </w:tblCellMar>
        </w:tblPrEx>
        <w:trPr>
          <w:trHeight w:val="453" w:hRule="atLeast"/>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7DD99DA5">
            <w:pPr>
              <w:jc w:val="center"/>
              <w:rPr>
                <w:rFonts w:ascii="仿宋" w:hAnsi="仿宋" w:cs="仿宋"/>
                <w:color w:val="000000"/>
              </w:rPr>
            </w:pPr>
          </w:p>
        </w:tc>
        <w:tc>
          <w:tcPr>
            <w:tcW w:w="736" w:type="pct"/>
            <w:vMerge w:val="continue"/>
            <w:tcBorders>
              <w:top w:val="single" w:color="000000" w:sz="4" w:space="0"/>
              <w:left w:val="single" w:color="000000" w:sz="4" w:space="0"/>
              <w:bottom w:val="single" w:color="000000" w:sz="4" w:space="0"/>
              <w:right w:val="single" w:color="000000" w:sz="4" w:space="0"/>
            </w:tcBorders>
            <w:vAlign w:val="center"/>
          </w:tcPr>
          <w:p w14:paraId="68D0AB03">
            <w:pPr>
              <w:jc w:val="center"/>
              <w:rPr>
                <w:rFonts w:ascii="仿宋" w:hAnsi="仿宋" w:cs="仿宋"/>
                <w:color w:val="000000"/>
              </w:rPr>
            </w:pPr>
          </w:p>
        </w:tc>
        <w:tc>
          <w:tcPr>
            <w:tcW w:w="2316" w:type="pct"/>
            <w:tcBorders>
              <w:top w:val="single" w:color="000000" w:sz="4" w:space="0"/>
              <w:left w:val="single" w:color="000000" w:sz="4" w:space="0"/>
              <w:bottom w:val="single" w:color="000000" w:sz="4" w:space="0"/>
              <w:right w:val="nil"/>
            </w:tcBorders>
            <w:vAlign w:val="center"/>
          </w:tcPr>
          <w:p w14:paraId="2307A5CF">
            <w:pPr>
              <w:widowControl/>
              <w:jc w:val="center"/>
              <w:textAlignment w:val="center"/>
              <w:rPr>
                <w:rFonts w:ascii="仿宋" w:hAnsi="仿宋" w:cs="仿宋"/>
                <w:color w:val="000000"/>
              </w:rPr>
            </w:pPr>
            <w:r>
              <w:rPr>
                <w:rFonts w:hint="eastAsia" w:ascii="仿宋" w:hAnsi="仿宋" w:cs="仿宋"/>
                <w:color w:val="000000"/>
                <w:kern w:val="0"/>
                <w:lang w:bidi="ar"/>
              </w:rPr>
              <w:t>4. 设备数量与分布（是否足够，位置是否方便）</w:t>
            </w:r>
          </w:p>
        </w:tc>
        <w:tc>
          <w:tcPr>
            <w:tcW w:w="1015" w:type="pct"/>
            <w:vMerge w:val="continue"/>
            <w:tcBorders>
              <w:left w:val="single" w:color="000000" w:sz="4" w:space="0"/>
              <w:bottom w:val="single" w:color="000000" w:sz="4" w:space="0"/>
              <w:right w:val="single" w:color="000000" w:sz="4" w:space="0"/>
            </w:tcBorders>
            <w:vAlign w:val="center"/>
          </w:tcPr>
          <w:p w14:paraId="5239415A">
            <w:pPr>
              <w:jc w:val="center"/>
              <w:rPr>
                <w:rFonts w:ascii="仿宋" w:hAnsi="仿宋" w:cs="仿宋"/>
                <w:color w:val="000000"/>
              </w:rPr>
            </w:pPr>
          </w:p>
        </w:tc>
        <w:tc>
          <w:tcPr>
            <w:tcW w:w="703" w:type="pct"/>
            <w:vMerge w:val="continue"/>
            <w:tcBorders>
              <w:top w:val="single" w:color="000000" w:sz="4" w:space="0"/>
              <w:left w:val="single" w:color="000000" w:sz="4" w:space="0"/>
              <w:bottom w:val="single" w:color="000000" w:sz="4" w:space="0"/>
              <w:right w:val="single" w:color="000000" w:sz="4" w:space="0"/>
            </w:tcBorders>
            <w:vAlign w:val="center"/>
          </w:tcPr>
          <w:p w14:paraId="098145E4">
            <w:pPr>
              <w:jc w:val="center"/>
              <w:rPr>
                <w:rFonts w:ascii="仿宋" w:hAnsi="仿宋" w:cs="仿宋"/>
                <w:color w:val="000000"/>
              </w:rPr>
            </w:pPr>
          </w:p>
        </w:tc>
      </w:tr>
      <w:tr w14:paraId="06769AC7">
        <w:tblPrEx>
          <w:tblCellMar>
            <w:top w:w="0" w:type="dxa"/>
            <w:left w:w="108" w:type="dxa"/>
            <w:bottom w:w="0" w:type="dxa"/>
            <w:right w:w="108" w:type="dxa"/>
          </w:tblCellMar>
        </w:tblPrEx>
        <w:trPr>
          <w:trHeight w:val="897" w:hRule="atLeast"/>
        </w:trPr>
        <w:tc>
          <w:tcPr>
            <w:tcW w:w="227" w:type="pct"/>
            <w:vMerge w:val="restart"/>
            <w:tcBorders>
              <w:top w:val="single" w:color="000000" w:sz="4" w:space="0"/>
              <w:left w:val="single" w:color="000000" w:sz="4" w:space="0"/>
              <w:bottom w:val="single" w:color="000000" w:sz="4" w:space="0"/>
              <w:right w:val="single" w:color="000000" w:sz="4" w:space="0"/>
            </w:tcBorders>
            <w:vAlign w:val="center"/>
          </w:tcPr>
          <w:p w14:paraId="3B36E587">
            <w:pPr>
              <w:widowControl/>
              <w:jc w:val="center"/>
              <w:textAlignment w:val="center"/>
              <w:rPr>
                <w:rFonts w:ascii="仿宋" w:hAnsi="仿宋" w:cs="仿宋"/>
                <w:color w:val="000000"/>
              </w:rPr>
            </w:pPr>
            <w:r>
              <w:rPr>
                <w:rFonts w:hint="eastAsia" w:ascii="仿宋" w:hAnsi="仿宋" w:cs="仿宋"/>
                <w:color w:val="000000"/>
                <w:kern w:val="0"/>
                <w:lang w:bidi="ar"/>
              </w:rPr>
              <w:t>2</w:t>
            </w:r>
          </w:p>
        </w:tc>
        <w:tc>
          <w:tcPr>
            <w:tcW w:w="736" w:type="pct"/>
            <w:vMerge w:val="restart"/>
            <w:tcBorders>
              <w:top w:val="single" w:color="000000" w:sz="4" w:space="0"/>
              <w:left w:val="single" w:color="000000" w:sz="4" w:space="0"/>
              <w:bottom w:val="single" w:color="000000" w:sz="4" w:space="0"/>
              <w:right w:val="single" w:color="000000" w:sz="4" w:space="0"/>
            </w:tcBorders>
            <w:vAlign w:val="center"/>
          </w:tcPr>
          <w:p w14:paraId="0547A31E">
            <w:pPr>
              <w:widowControl/>
              <w:jc w:val="center"/>
              <w:textAlignment w:val="center"/>
              <w:rPr>
                <w:rFonts w:ascii="仿宋" w:hAnsi="仿宋" w:cs="仿宋"/>
                <w:color w:val="000000"/>
              </w:rPr>
            </w:pPr>
            <w:r>
              <w:rPr>
                <w:rFonts w:hint="eastAsia" w:ascii="仿宋" w:hAnsi="仿宋" w:cs="仿宋"/>
                <w:color w:val="000000"/>
                <w:kern w:val="0"/>
                <w:lang w:bidi="ar"/>
              </w:rPr>
              <w:t>服务质量（每</w:t>
            </w:r>
            <w:r>
              <w:rPr>
                <w:rFonts w:hint="eastAsia" w:ascii="仿宋" w:hAnsi="仿宋" w:cs="仿宋"/>
                <w:color w:val="000000"/>
                <w:kern w:val="0"/>
                <w:lang w:val="en-US" w:eastAsia="zh-CN" w:bidi="ar"/>
              </w:rPr>
              <w:t>项</w:t>
            </w:r>
            <w:r>
              <w:rPr>
                <w:rFonts w:hint="eastAsia" w:ascii="仿宋" w:hAnsi="仿宋" w:cs="仿宋"/>
                <w:color w:val="000000"/>
                <w:kern w:val="0"/>
                <w:lang w:bidi="ar"/>
              </w:rPr>
              <w:t xml:space="preserve">  5 分，共 20 分）</w:t>
            </w:r>
          </w:p>
        </w:tc>
        <w:tc>
          <w:tcPr>
            <w:tcW w:w="2316" w:type="pct"/>
            <w:tcBorders>
              <w:top w:val="single" w:color="000000" w:sz="4" w:space="0"/>
              <w:left w:val="single" w:color="000000" w:sz="4" w:space="0"/>
              <w:bottom w:val="single" w:color="000000" w:sz="4" w:space="0"/>
              <w:right w:val="nil"/>
            </w:tcBorders>
            <w:vAlign w:val="center"/>
          </w:tcPr>
          <w:p w14:paraId="030C4633">
            <w:pPr>
              <w:widowControl/>
              <w:jc w:val="center"/>
              <w:textAlignment w:val="center"/>
              <w:rPr>
                <w:rFonts w:ascii="仿宋" w:hAnsi="仿宋" w:cs="仿宋"/>
                <w:color w:val="000000"/>
              </w:rPr>
            </w:pPr>
            <w:r>
              <w:rPr>
                <w:rFonts w:hint="eastAsia" w:ascii="仿宋" w:hAnsi="仿宋" w:cs="仿宋"/>
                <w:color w:val="000000"/>
                <w:kern w:val="0"/>
                <w:lang w:bidi="ar"/>
              </w:rPr>
              <w:t>1. 服务时间合理性（是否满足课余及休息时段使用）</w:t>
            </w:r>
          </w:p>
        </w:tc>
        <w:tc>
          <w:tcPr>
            <w:tcW w:w="1015" w:type="pct"/>
            <w:vMerge w:val="restart"/>
            <w:tcBorders>
              <w:top w:val="single" w:color="000000" w:sz="4" w:space="0"/>
              <w:left w:val="single" w:color="000000" w:sz="4" w:space="0"/>
              <w:right w:val="single" w:color="000000" w:sz="4" w:space="0"/>
            </w:tcBorders>
            <w:vAlign w:val="center"/>
          </w:tcPr>
          <w:p w14:paraId="46670354">
            <w:pPr>
              <w:widowControl/>
              <w:jc w:val="center"/>
              <w:textAlignment w:val="center"/>
              <w:rPr>
                <w:rFonts w:hint="eastAsia" w:ascii="仿宋" w:hAnsi="仿宋" w:cs="仿宋"/>
                <w:color w:val="000000"/>
                <w:kern w:val="0"/>
                <w:lang w:bidi="ar"/>
              </w:rPr>
            </w:pPr>
            <w:r>
              <w:rPr>
                <w:rFonts w:hint="eastAsia" w:ascii="仿宋" w:hAnsi="仿宋" w:cs="仿宋"/>
                <w:color w:val="000000"/>
                <w:kern w:val="0"/>
                <w:lang w:val="en-US" w:eastAsia="zh-CN" w:bidi="ar"/>
              </w:rPr>
              <w:t>每项服务情况按优5分、良4分、中3分、一般2分、基本合格1分、差0分</w:t>
            </w:r>
          </w:p>
        </w:tc>
        <w:tc>
          <w:tcPr>
            <w:tcW w:w="703" w:type="pct"/>
            <w:vMerge w:val="restart"/>
            <w:tcBorders>
              <w:top w:val="single" w:color="000000" w:sz="4" w:space="0"/>
              <w:left w:val="single" w:color="000000" w:sz="4" w:space="0"/>
              <w:bottom w:val="single" w:color="000000" w:sz="4" w:space="0"/>
              <w:right w:val="single" w:color="000000" w:sz="4" w:space="0"/>
            </w:tcBorders>
            <w:vAlign w:val="center"/>
          </w:tcPr>
          <w:p w14:paraId="1D1C8206">
            <w:pPr>
              <w:widowControl/>
              <w:jc w:val="center"/>
              <w:textAlignment w:val="center"/>
              <w:rPr>
                <w:rFonts w:ascii="仿宋" w:hAnsi="仿宋" w:cs="仿宋"/>
                <w:color w:val="000000"/>
              </w:rPr>
            </w:pPr>
            <w:r>
              <w:rPr>
                <w:rFonts w:hint="eastAsia" w:ascii="仿宋" w:hAnsi="仿宋" w:cs="仿宋"/>
                <w:color w:val="000000"/>
                <w:kern w:val="0"/>
                <w:lang w:bidi="ar"/>
              </w:rPr>
              <w:t>通过现场确定或问卷调查</w:t>
            </w:r>
          </w:p>
        </w:tc>
      </w:tr>
      <w:tr w14:paraId="350F865B">
        <w:tblPrEx>
          <w:tblCellMar>
            <w:top w:w="0" w:type="dxa"/>
            <w:left w:w="108" w:type="dxa"/>
            <w:bottom w:w="0" w:type="dxa"/>
            <w:right w:w="108" w:type="dxa"/>
          </w:tblCellMar>
        </w:tblPrEx>
        <w:trPr>
          <w:trHeight w:val="453" w:hRule="atLeast"/>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3C35A3CB">
            <w:pPr>
              <w:jc w:val="center"/>
              <w:rPr>
                <w:rFonts w:ascii="仿宋" w:hAnsi="仿宋" w:cs="仿宋"/>
                <w:color w:val="000000"/>
              </w:rPr>
            </w:pPr>
          </w:p>
        </w:tc>
        <w:tc>
          <w:tcPr>
            <w:tcW w:w="736" w:type="pct"/>
            <w:vMerge w:val="continue"/>
            <w:tcBorders>
              <w:top w:val="single" w:color="000000" w:sz="4" w:space="0"/>
              <w:left w:val="single" w:color="000000" w:sz="4" w:space="0"/>
              <w:bottom w:val="single" w:color="000000" w:sz="4" w:space="0"/>
              <w:right w:val="single" w:color="000000" w:sz="4" w:space="0"/>
            </w:tcBorders>
            <w:vAlign w:val="center"/>
          </w:tcPr>
          <w:p w14:paraId="2846039B">
            <w:pPr>
              <w:jc w:val="center"/>
              <w:rPr>
                <w:rFonts w:ascii="仿宋" w:hAnsi="仿宋" w:cs="仿宋"/>
                <w:color w:val="000000"/>
              </w:rPr>
            </w:pPr>
          </w:p>
        </w:tc>
        <w:tc>
          <w:tcPr>
            <w:tcW w:w="2316" w:type="pct"/>
            <w:tcBorders>
              <w:top w:val="single" w:color="000000" w:sz="4" w:space="0"/>
              <w:left w:val="single" w:color="000000" w:sz="4" w:space="0"/>
              <w:bottom w:val="single" w:color="000000" w:sz="4" w:space="0"/>
              <w:right w:val="nil"/>
            </w:tcBorders>
            <w:vAlign w:val="center"/>
          </w:tcPr>
          <w:p w14:paraId="7634979A">
            <w:pPr>
              <w:widowControl/>
              <w:jc w:val="center"/>
              <w:textAlignment w:val="center"/>
              <w:rPr>
                <w:rFonts w:ascii="仿宋" w:hAnsi="仿宋" w:cs="仿宋"/>
                <w:color w:val="000000"/>
              </w:rPr>
            </w:pPr>
            <w:r>
              <w:rPr>
                <w:rFonts w:hint="eastAsia" w:ascii="仿宋" w:hAnsi="仿宋" w:cs="仿宋"/>
                <w:color w:val="000000"/>
                <w:kern w:val="0"/>
                <w:lang w:bidi="ar"/>
              </w:rPr>
              <w:t>2. 客服人员态度（友善、耐心、文明用语情况）</w:t>
            </w:r>
          </w:p>
        </w:tc>
        <w:tc>
          <w:tcPr>
            <w:tcW w:w="1015" w:type="pct"/>
            <w:vMerge w:val="continue"/>
            <w:tcBorders>
              <w:left w:val="single" w:color="000000" w:sz="4" w:space="0"/>
              <w:right w:val="single" w:color="000000" w:sz="4" w:space="0"/>
            </w:tcBorders>
            <w:vAlign w:val="center"/>
          </w:tcPr>
          <w:p w14:paraId="10DCFA30">
            <w:pPr>
              <w:jc w:val="center"/>
              <w:rPr>
                <w:rFonts w:ascii="仿宋" w:hAnsi="仿宋" w:cs="仿宋"/>
                <w:color w:val="000000"/>
              </w:rPr>
            </w:pPr>
          </w:p>
        </w:tc>
        <w:tc>
          <w:tcPr>
            <w:tcW w:w="703" w:type="pct"/>
            <w:vMerge w:val="continue"/>
            <w:tcBorders>
              <w:top w:val="single" w:color="000000" w:sz="4" w:space="0"/>
              <w:left w:val="single" w:color="000000" w:sz="4" w:space="0"/>
              <w:bottom w:val="single" w:color="000000" w:sz="4" w:space="0"/>
              <w:right w:val="single" w:color="000000" w:sz="4" w:space="0"/>
            </w:tcBorders>
            <w:vAlign w:val="center"/>
          </w:tcPr>
          <w:p w14:paraId="1D2695A1">
            <w:pPr>
              <w:jc w:val="center"/>
              <w:rPr>
                <w:rFonts w:ascii="仿宋" w:hAnsi="仿宋" w:cs="仿宋"/>
                <w:color w:val="000000"/>
              </w:rPr>
            </w:pPr>
          </w:p>
        </w:tc>
      </w:tr>
      <w:tr w14:paraId="0BE682F4">
        <w:tblPrEx>
          <w:tblCellMar>
            <w:top w:w="0" w:type="dxa"/>
            <w:left w:w="108" w:type="dxa"/>
            <w:bottom w:w="0" w:type="dxa"/>
            <w:right w:w="108" w:type="dxa"/>
          </w:tblCellMar>
        </w:tblPrEx>
        <w:trPr>
          <w:trHeight w:val="453" w:hRule="atLeast"/>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243270A3">
            <w:pPr>
              <w:jc w:val="center"/>
              <w:rPr>
                <w:rFonts w:ascii="仿宋" w:hAnsi="仿宋" w:cs="仿宋"/>
                <w:color w:val="000000"/>
              </w:rPr>
            </w:pPr>
          </w:p>
        </w:tc>
        <w:tc>
          <w:tcPr>
            <w:tcW w:w="736" w:type="pct"/>
            <w:vMerge w:val="continue"/>
            <w:tcBorders>
              <w:top w:val="single" w:color="000000" w:sz="4" w:space="0"/>
              <w:left w:val="single" w:color="000000" w:sz="4" w:space="0"/>
              <w:bottom w:val="single" w:color="000000" w:sz="4" w:space="0"/>
              <w:right w:val="single" w:color="000000" w:sz="4" w:space="0"/>
            </w:tcBorders>
            <w:vAlign w:val="center"/>
          </w:tcPr>
          <w:p w14:paraId="3D0ECFAC">
            <w:pPr>
              <w:jc w:val="center"/>
              <w:rPr>
                <w:rFonts w:ascii="仿宋" w:hAnsi="仿宋" w:cs="仿宋"/>
                <w:color w:val="000000"/>
              </w:rPr>
            </w:pPr>
          </w:p>
        </w:tc>
        <w:tc>
          <w:tcPr>
            <w:tcW w:w="2316" w:type="pct"/>
            <w:tcBorders>
              <w:top w:val="single" w:color="000000" w:sz="4" w:space="0"/>
              <w:left w:val="single" w:color="000000" w:sz="4" w:space="0"/>
              <w:bottom w:val="single" w:color="000000" w:sz="4" w:space="0"/>
              <w:right w:val="nil"/>
            </w:tcBorders>
            <w:vAlign w:val="center"/>
          </w:tcPr>
          <w:p w14:paraId="38FBEC45">
            <w:pPr>
              <w:widowControl/>
              <w:jc w:val="center"/>
              <w:textAlignment w:val="center"/>
              <w:rPr>
                <w:rFonts w:ascii="仿宋" w:hAnsi="仿宋" w:cs="仿宋"/>
                <w:color w:val="000000"/>
              </w:rPr>
            </w:pPr>
            <w:r>
              <w:rPr>
                <w:rFonts w:hint="eastAsia" w:ascii="仿宋" w:hAnsi="仿宋" w:cs="仿宋"/>
                <w:color w:val="000000"/>
                <w:kern w:val="0"/>
                <w:lang w:bidi="ar"/>
              </w:rPr>
              <w:t>3. 问题响应速度（反映问题后得到回应的快慢）</w:t>
            </w:r>
          </w:p>
        </w:tc>
        <w:tc>
          <w:tcPr>
            <w:tcW w:w="1015" w:type="pct"/>
            <w:vMerge w:val="continue"/>
            <w:tcBorders>
              <w:left w:val="single" w:color="000000" w:sz="4" w:space="0"/>
              <w:right w:val="single" w:color="000000" w:sz="4" w:space="0"/>
            </w:tcBorders>
            <w:vAlign w:val="center"/>
          </w:tcPr>
          <w:p w14:paraId="49C415A1">
            <w:pPr>
              <w:jc w:val="center"/>
              <w:rPr>
                <w:rFonts w:ascii="仿宋" w:hAnsi="仿宋" w:cs="仿宋"/>
                <w:color w:val="000000"/>
              </w:rPr>
            </w:pPr>
          </w:p>
        </w:tc>
        <w:tc>
          <w:tcPr>
            <w:tcW w:w="703" w:type="pct"/>
            <w:vMerge w:val="continue"/>
            <w:tcBorders>
              <w:top w:val="single" w:color="000000" w:sz="4" w:space="0"/>
              <w:left w:val="single" w:color="000000" w:sz="4" w:space="0"/>
              <w:bottom w:val="single" w:color="000000" w:sz="4" w:space="0"/>
              <w:right w:val="single" w:color="000000" w:sz="4" w:space="0"/>
            </w:tcBorders>
            <w:vAlign w:val="center"/>
          </w:tcPr>
          <w:p w14:paraId="32A40714">
            <w:pPr>
              <w:jc w:val="center"/>
              <w:rPr>
                <w:rFonts w:ascii="仿宋" w:hAnsi="仿宋" w:cs="仿宋"/>
                <w:color w:val="000000"/>
              </w:rPr>
            </w:pPr>
          </w:p>
        </w:tc>
      </w:tr>
      <w:tr w14:paraId="0A67DCAD">
        <w:tblPrEx>
          <w:tblCellMar>
            <w:top w:w="0" w:type="dxa"/>
            <w:left w:w="108" w:type="dxa"/>
            <w:bottom w:w="0" w:type="dxa"/>
            <w:right w:w="108" w:type="dxa"/>
          </w:tblCellMar>
        </w:tblPrEx>
        <w:trPr>
          <w:trHeight w:val="453" w:hRule="atLeast"/>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76F4E972">
            <w:pPr>
              <w:jc w:val="center"/>
              <w:rPr>
                <w:rFonts w:ascii="仿宋" w:hAnsi="仿宋" w:cs="仿宋"/>
                <w:color w:val="000000"/>
              </w:rPr>
            </w:pPr>
          </w:p>
        </w:tc>
        <w:tc>
          <w:tcPr>
            <w:tcW w:w="736" w:type="pct"/>
            <w:vMerge w:val="continue"/>
            <w:tcBorders>
              <w:top w:val="single" w:color="000000" w:sz="4" w:space="0"/>
              <w:left w:val="single" w:color="000000" w:sz="4" w:space="0"/>
              <w:bottom w:val="single" w:color="000000" w:sz="4" w:space="0"/>
              <w:right w:val="single" w:color="000000" w:sz="4" w:space="0"/>
            </w:tcBorders>
            <w:vAlign w:val="center"/>
          </w:tcPr>
          <w:p w14:paraId="43B11D06">
            <w:pPr>
              <w:jc w:val="center"/>
              <w:rPr>
                <w:rFonts w:ascii="仿宋" w:hAnsi="仿宋" w:cs="仿宋"/>
                <w:color w:val="000000"/>
              </w:rPr>
            </w:pPr>
          </w:p>
        </w:tc>
        <w:tc>
          <w:tcPr>
            <w:tcW w:w="2316" w:type="pct"/>
            <w:tcBorders>
              <w:top w:val="single" w:color="000000" w:sz="4" w:space="0"/>
              <w:left w:val="single" w:color="000000" w:sz="4" w:space="0"/>
              <w:bottom w:val="single" w:color="000000" w:sz="4" w:space="0"/>
              <w:right w:val="nil"/>
            </w:tcBorders>
            <w:vAlign w:val="center"/>
          </w:tcPr>
          <w:p w14:paraId="3A7F22AB">
            <w:pPr>
              <w:widowControl/>
              <w:jc w:val="center"/>
              <w:textAlignment w:val="center"/>
              <w:rPr>
                <w:rFonts w:ascii="仿宋" w:hAnsi="仿宋" w:cs="仿宋"/>
                <w:color w:val="000000"/>
              </w:rPr>
            </w:pPr>
            <w:r>
              <w:rPr>
                <w:rFonts w:hint="eastAsia" w:ascii="仿宋" w:hAnsi="仿宋" w:cs="仿宋"/>
                <w:color w:val="000000"/>
                <w:kern w:val="0"/>
                <w:lang w:bidi="ar"/>
              </w:rPr>
              <w:t>4. 问题解决能力（问题处理效果及反馈情况）</w:t>
            </w:r>
          </w:p>
        </w:tc>
        <w:tc>
          <w:tcPr>
            <w:tcW w:w="1015" w:type="pct"/>
            <w:vMerge w:val="continue"/>
            <w:tcBorders>
              <w:left w:val="single" w:color="000000" w:sz="4" w:space="0"/>
              <w:bottom w:val="single" w:color="000000" w:sz="4" w:space="0"/>
              <w:right w:val="single" w:color="000000" w:sz="4" w:space="0"/>
            </w:tcBorders>
            <w:vAlign w:val="center"/>
          </w:tcPr>
          <w:p w14:paraId="0773B6E8">
            <w:pPr>
              <w:jc w:val="center"/>
              <w:rPr>
                <w:rFonts w:ascii="仿宋" w:hAnsi="仿宋" w:cs="仿宋"/>
                <w:color w:val="000000"/>
              </w:rPr>
            </w:pPr>
          </w:p>
        </w:tc>
        <w:tc>
          <w:tcPr>
            <w:tcW w:w="703" w:type="pct"/>
            <w:vMerge w:val="continue"/>
            <w:tcBorders>
              <w:top w:val="single" w:color="000000" w:sz="4" w:space="0"/>
              <w:left w:val="single" w:color="000000" w:sz="4" w:space="0"/>
              <w:bottom w:val="single" w:color="000000" w:sz="4" w:space="0"/>
              <w:right w:val="single" w:color="000000" w:sz="4" w:space="0"/>
            </w:tcBorders>
            <w:vAlign w:val="center"/>
          </w:tcPr>
          <w:p w14:paraId="269D4F21">
            <w:pPr>
              <w:jc w:val="center"/>
              <w:rPr>
                <w:rFonts w:ascii="仿宋" w:hAnsi="仿宋" w:cs="仿宋"/>
                <w:color w:val="000000"/>
              </w:rPr>
            </w:pPr>
          </w:p>
        </w:tc>
      </w:tr>
      <w:tr w14:paraId="42CEBDCF">
        <w:tblPrEx>
          <w:tblCellMar>
            <w:top w:w="0" w:type="dxa"/>
            <w:left w:w="108" w:type="dxa"/>
            <w:bottom w:w="0" w:type="dxa"/>
            <w:right w:w="108" w:type="dxa"/>
          </w:tblCellMar>
        </w:tblPrEx>
        <w:trPr>
          <w:trHeight w:val="897" w:hRule="atLeast"/>
        </w:trPr>
        <w:tc>
          <w:tcPr>
            <w:tcW w:w="227" w:type="pct"/>
            <w:vMerge w:val="restart"/>
            <w:tcBorders>
              <w:top w:val="single" w:color="000000" w:sz="4" w:space="0"/>
              <w:left w:val="single" w:color="000000" w:sz="4" w:space="0"/>
              <w:bottom w:val="single" w:color="000000" w:sz="4" w:space="0"/>
              <w:right w:val="single" w:color="000000" w:sz="4" w:space="0"/>
            </w:tcBorders>
            <w:vAlign w:val="center"/>
          </w:tcPr>
          <w:p w14:paraId="6785E757">
            <w:pPr>
              <w:widowControl/>
              <w:jc w:val="center"/>
              <w:textAlignment w:val="center"/>
              <w:rPr>
                <w:rFonts w:ascii="仿宋" w:hAnsi="仿宋" w:cs="仿宋"/>
                <w:color w:val="000000"/>
              </w:rPr>
            </w:pPr>
            <w:r>
              <w:rPr>
                <w:rFonts w:hint="eastAsia" w:ascii="仿宋" w:hAnsi="仿宋" w:cs="仿宋"/>
                <w:color w:val="000000"/>
                <w:kern w:val="0"/>
                <w:lang w:bidi="ar"/>
              </w:rPr>
              <w:t>3</w:t>
            </w:r>
          </w:p>
        </w:tc>
        <w:tc>
          <w:tcPr>
            <w:tcW w:w="736" w:type="pct"/>
            <w:vMerge w:val="restart"/>
            <w:tcBorders>
              <w:top w:val="single" w:color="000000" w:sz="4" w:space="0"/>
              <w:left w:val="single" w:color="000000" w:sz="4" w:space="0"/>
              <w:bottom w:val="single" w:color="000000" w:sz="4" w:space="0"/>
              <w:right w:val="single" w:color="000000" w:sz="4" w:space="0"/>
            </w:tcBorders>
            <w:vAlign w:val="center"/>
          </w:tcPr>
          <w:p w14:paraId="38741E70">
            <w:pPr>
              <w:widowControl/>
              <w:jc w:val="center"/>
              <w:textAlignment w:val="center"/>
              <w:rPr>
                <w:rFonts w:ascii="仿宋" w:hAnsi="仿宋" w:cs="仿宋"/>
                <w:color w:val="000000"/>
              </w:rPr>
            </w:pPr>
            <w:r>
              <w:rPr>
                <w:rFonts w:hint="eastAsia" w:ascii="仿宋" w:hAnsi="仿宋" w:cs="仿宋"/>
                <w:color w:val="000000"/>
                <w:kern w:val="0"/>
                <w:lang w:bidi="ar"/>
              </w:rPr>
              <w:t>卫生环境（每</w:t>
            </w:r>
            <w:r>
              <w:rPr>
                <w:rFonts w:hint="eastAsia" w:ascii="仿宋" w:hAnsi="仿宋" w:cs="仿宋"/>
                <w:color w:val="000000"/>
                <w:kern w:val="0"/>
                <w:lang w:val="en-US" w:eastAsia="zh-CN" w:bidi="ar"/>
              </w:rPr>
              <w:t>项</w:t>
            </w:r>
            <w:r>
              <w:rPr>
                <w:rFonts w:hint="eastAsia" w:ascii="仿宋" w:hAnsi="仿宋" w:cs="仿宋"/>
                <w:color w:val="000000"/>
                <w:kern w:val="0"/>
                <w:lang w:bidi="ar"/>
              </w:rPr>
              <w:t xml:space="preserve">  5 分，共 15 分）</w:t>
            </w:r>
          </w:p>
        </w:tc>
        <w:tc>
          <w:tcPr>
            <w:tcW w:w="2316" w:type="pct"/>
            <w:tcBorders>
              <w:top w:val="single" w:color="000000" w:sz="4" w:space="0"/>
              <w:left w:val="single" w:color="000000" w:sz="4" w:space="0"/>
              <w:bottom w:val="single" w:color="000000" w:sz="4" w:space="0"/>
              <w:right w:val="nil"/>
            </w:tcBorders>
            <w:vAlign w:val="center"/>
          </w:tcPr>
          <w:p w14:paraId="5A4D7F5A">
            <w:pPr>
              <w:widowControl/>
              <w:jc w:val="center"/>
              <w:textAlignment w:val="center"/>
              <w:rPr>
                <w:rFonts w:ascii="仿宋" w:hAnsi="仿宋" w:cs="仿宋"/>
                <w:color w:val="000000"/>
              </w:rPr>
            </w:pPr>
            <w:r>
              <w:rPr>
                <w:rFonts w:hint="eastAsia" w:ascii="仿宋" w:hAnsi="仿宋" w:cs="仿宋"/>
                <w:color w:val="000000"/>
                <w:kern w:val="0"/>
                <w:lang w:bidi="ar"/>
              </w:rPr>
              <w:t>1. 清洁程度（地面、墙面、洗衣机表面及周边整洁情况）</w:t>
            </w:r>
          </w:p>
        </w:tc>
        <w:tc>
          <w:tcPr>
            <w:tcW w:w="1015" w:type="pct"/>
            <w:vMerge w:val="restart"/>
            <w:tcBorders>
              <w:top w:val="single" w:color="000000" w:sz="4" w:space="0"/>
              <w:left w:val="single" w:color="000000" w:sz="4" w:space="0"/>
              <w:right w:val="single" w:color="000000" w:sz="4" w:space="0"/>
            </w:tcBorders>
            <w:vAlign w:val="center"/>
          </w:tcPr>
          <w:p w14:paraId="352EA493">
            <w:pPr>
              <w:widowControl/>
              <w:jc w:val="center"/>
              <w:textAlignment w:val="center"/>
              <w:rPr>
                <w:rFonts w:hint="eastAsia" w:ascii="仿宋" w:hAnsi="仿宋" w:cs="仿宋"/>
                <w:color w:val="000000"/>
                <w:kern w:val="0"/>
                <w:lang w:bidi="ar"/>
              </w:rPr>
            </w:pPr>
            <w:r>
              <w:rPr>
                <w:rFonts w:hint="eastAsia" w:ascii="仿宋" w:hAnsi="仿宋" w:cs="仿宋"/>
                <w:color w:val="000000"/>
                <w:kern w:val="0"/>
                <w:lang w:val="en-US" w:eastAsia="zh-CN" w:bidi="ar"/>
              </w:rPr>
              <w:t>每项服务情况按优5分、良4分、中3分、一般2分、基本合格1分、差0分</w:t>
            </w:r>
          </w:p>
        </w:tc>
        <w:tc>
          <w:tcPr>
            <w:tcW w:w="703" w:type="pct"/>
            <w:vMerge w:val="restart"/>
            <w:tcBorders>
              <w:top w:val="single" w:color="000000" w:sz="4" w:space="0"/>
              <w:left w:val="single" w:color="000000" w:sz="4" w:space="0"/>
              <w:bottom w:val="single" w:color="000000" w:sz="4" w:space="0"/>
              <w:right w:val="single" w:color="000000" w:sz="4" w:space="0"/>
            </w:tcBorders>
            <w:vAlign w:val="center"/>
          </w:tcPr>
          <w:p w14:paraId="7446C8B8">
            <w:pPr>
              <w:widowControl/>
              <w:jc w:val="center"/>
              <w:textAlignment w:val="center"/>
              <w:rPr>
                <w:rFonts w:ascii="仿宋" w:hAnsi="仿宋" w:cs="仿宋"/>
                <w:color w:val="000000"/>
              </w:rPr>
            </w:pPr>
            <w:r>
              <w:rPr>
                <w:rFonts w:hint="eastAsia" w:ascii="仿宋" w:hAnsi="仿宋" w:cs="仿宋"/>
                <w:color w:val="000000"/>
                <w:kern w:val="0"/>
                <w:lang w:bidi="ar"/>
              </w:rPr>
              <w:t>通过现场确定或问卷调查</w:t>
            </w:r>
          </w:p>
        </w:tc>
      </w:tr>
      <w:tr w14:paraId="1B31D570">
        <w:tblPrEx>
          <w:tblCellMar>
            <w:top w:w="0" w:type="dxa"/>
            <w:left w:w="108" w:type="dxa"/>
            <w:bottom w:w="0" w:type="dxa"/>
            <w:right w:w="108" w:type="dxa"/>
          </w:tblCellMar>
        </w:tblPrEx>
        <w:trPr>
          <w:trHeight w:val="897" w:hRule="atLeast"/>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3403445B">
            <w:pPr>
              <w:jc w:val="center"/>
              <w:rPr>
                <w:rFonts w:ascii="仿宋" w:hAnsi="仿宋" w:cs="仿宋"/>
                <w:color w:val="000000"/>
              </w:rPr>
            </w:pPr>
          </w:p>
        </w:tc>
        <w:tc>
          <w:tcPr>
            <w:tcW w:w="736" w:type="pct"/>
            <w:vMerge w:val="continue"/>
            <w:tcBorders>
              <w:top w:val="single" w:color="000000" w:sz="4" w:space="0"/>
              <w:left w:val="single" w:color="000000" w:sz="4" w:space="0"/>
              <w:bottom w:val="single" w:color="000000" w:sz="4" w:space="0"/>
              <w:right w:val="single" w:color="000000" w:sz="4" w:space="0"/>
            </w:tcBorders>
            <w:vAlign w:val="center"/>
          </w:tcPr>
          <w:p w14:paraId="66A4B9CE">
            <w:pPr>
              <w:jc w:val="center"/>
              <w:rPr>
                <w:rFonts w:ascii="仿宋" w:hAnsi="仿宋" w:cs="仿宋"/>
                <w:color w:val="000000"/>
              </w:rPr>
            </w:pPr>
          </w:p>
        </w:tc>
        <w:tc>
          <w:tcPr>
            <w:tcW w:w="2316" w:type="pct"/>
            <w:tcBorders>
              <w:top w:val="single" w:color="000000" w:sz="4" w:space="0"/>
              <w:left w:val="single" w:color="000000" w:sz="4" w:space="0"/>
              <w:bottom w:val="single" w:color="000000" w:sz="4" w:space="0"/>
              <w:right w:val="nil"/>
            </w:tcBorders>
            <w:vAlign w:val="center"/>
          </w:tcPr>
          <w:p w14:paraId="6150F9EC">
            <w:pPr>
              <w:widowControl/>
              <w:jc w:val="center"/>
              <w:textAlignment w:val="center"/>
              <w:rPr>
                <w:rFonts w:ascii="仿宋" w:hAnsi="仿宋" w:cs="仿宋"/>
                <w:color w:val="000000"/>
              </w:rPr>
            </w:pPr>
            <w:r>
              <w:rPr>
                <w:rFonts w:hint="eastAsia" w:ascii="仿宋" w:hAnsi="仿宋" w:cs="仿宋"/>
                <w:color w:val="000000"/>
                <w:kern w:val="0"/>
                <w:lang w:bidi="ar"/>
              </w:rPr>
              <w:t>2. 消毒情况（是否能感受到定期消毒，有无相关记录可查）</w:t>
            </w:r>
          </w:p>
        </w:tc>
        <w:tc>
          <w:tcPr>
            <w:tcW w:w="1015" w:type="pct"/>
            <w:vMerge w:val="continue"/>
            <w:tcBorders>
              <w:left w:val="single" w:color="000000" w:sz="4" w:space="0"/>
              <w:right w:val="single" w:color="000000" w:sz="4" w:space="0"/>
            </w:tcBorders>
            <w:vAlign w:val="center"/>
          </w:tcPr>
          <w:p w14:paraId="76111A7E">
            <w:pPr>
              <w:jc w:val="center"/>
              <w:rPr>
                <w:rFonts w:ascii="仿宋" w:hAnsi="仿宋" w:cs="仿宋"/>
                <w:color w:val="000000"/>
              </w:rPr>
            </w:pPr>
          </w:p>
        </w:tc>
        <w:tc>
          <w:tcPr>
            <w:tcW w:w="703" w:type="pct"/>
            <w:vMerge w:val="continue"/>
            <w:tcBorders>
              <w:top w:val="single" w:color="000000" w:sz="4" w:space="0"/>
              <w:left w:val="single" w:color="000000" w:sz="4" w:space="0"/>
              <w:bottom w:val="single" w:color="000000" w:sz="4" w:space="0"/>
              <w:right w:val="single" w:color="000000" w:sz="4" w:space="0"/>
            </w:tcBorders>
            <w:vAlign w:val="center"/>
          </w:tcPr>
          <w:p w14:paraId="541616C5">
            <w:pPr>
              <w:jc w:val="center"/>
              <w:rPr>
                <w:rFonts w:ascii="仿宋" w:hAnsi="仿宋" w:cs="仿宋"/>
                <w:color w:val="000000"/>
              </w:rPr>
            </w:pPr>
          </w:p>
        </w:tc>
      </w:tr>
      <w:tr w14:paraId="4BFDD14F">
        <w:tblPrEx>
          <w:tblCellMar>
            <w:top w:w="0" w:type="dxa"/>
            <w:left w:w="108" w:type="dxa"/>
            <w:bottom w:w="0" w:type="dxa"/>
            <w:right w:w="108" w:type="dxa"/>
          </w:tblCellMar>
        </w:tblPrEx>
        <w:trPr>
          <w:trHeight w:val="453" w:hRule="atLeast"/>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3C4B34A4">
            <w:pPr>
              <w:jc w:val="center"/>
              <w:rPr>
                <w:rFonts w:ascii="仿宋" w:hAnsi="仿宋" w:cs="仿宋"/>
                <w:color w:val="000000"/>
              </w:rPr>
            </w:pPr>
          </w:p>
        </w:tc>
        <w:tc>
          <w:tcPr>
            <w:tcW w:w="736" w:type="pct"/>
            <w:vMerge w:val="continue"/>
            <w:tcBorders>
              <w:top w:val="single" w:color="000000" w:sz="4" w:space="0"/>
              <w:left w:val="single" w:color="000000" w:sz="4" w:space="0"/>
              <w:bottom w:val="single" w:color="000000" w:sz="4" w:space="0"/>
              <w:right w:val="single" w:color="000000" w:sz="4" w:space="0"/>
            </w:tcBorders>
            <w:vAlign w:val="center"/>
          </w:tcPr>
          <w:p w14:paraId="0E4FDF5D">
            <w:pPr>
              <w:jc w:val="center"/>
              <w:rPr>
                <w:rFonts w:ascii="仿宋" w:hAnsi="仿宋" w:cs="仿宋"/>
                <w:color w:val="000000"/>
              </w:rPr>
            </w:pPr>
          </w:p>
        </w:tc>
        <w:tc>
          <w:tcPr>
            <w:tcW w:w="2316" w:type="pct"/>
            <w:tcBorders>
              <w:top w:val="single" w:color="000000" w:sz="4" w:space="0"/>
              <w:left w:val="single" w:color="000000" w:sz="4" w:space="0"/>
              <w:bottom w:val="single" w:color="000000" w:sz="4" w:space="0"/>
              <w:right w:val="nil"/>
            </w:tcBorders>
            <w:vAlign w:val="center"/>
          </w:tcPr>
          <w:p w14:paraId="72EEEBEE">
            <w:pPr>
              <w:widowControl/>
              <w:jc w:val="center"/>
              <w:textAlignment w:val="center"/>
              <w:rPr>
                <w:rFonts w:ascii="仿宋" w:hAnsi="仿宋" w:cs="仿宋"/>
                <w:color w:val="000000"/>
              </w:rPr>
            </w:pPr>
            <w:r>
              <w:rPr>
                <w:rFonts w:hint="eastAsia" w:ascii="仿宋" w:hAnsi="仿宋" w:cs="仿宋"/>
                <w:color w:val="000000"/>
                <w:kern w:val="0"/>
                <w:lang w:bidi="ar"/>
              </w:rPr>
              <w:t>3. 异味控制（洗衣场所是否有明显异味）</w:t>
            </w:r>
          </w:p>
        </w:tc>
        <w:tc>
          <w:tcPr>
            <w:tcW w:w="1015" w:type="pct"/>
            <w:vMerge w:val="continue"/>
            <w:tcBorders>
              <w:left w:val="single" w:color="000000" w:sz="4" w:space="0"/>
              <w:bottom w:val="single" w:color="000000" w:sz="4" w:space="0"/>
              <w:right w:val="single" w:color="000000" w:sz="4" w:space="0"/>
            </w:tcBorders>
            <w:vAlign w:val="center"/>
          </w:tcPr>
          <w:p w14:paraId="42E3C790">
            <w:pPr>
              <w:jc w:val="center"/>
              <w:rPr>
                <w:rFonts w:ascii="仿宋" w:hAnsi="仿宋" w:cs="仿宋"/>
                <w:color w:val="000000"/>
              </w:rPr>
            </w:pPr>
          </w:p>
        </w:tc>
        <w:tc>
          <w:tcPr>
            <w:tcW w:w="703" w:type="pct"/>
            <w:vMerge w:val="continue"/>
            <w:tcBorders>
              <w:top w:val="single" w:color="000000" w:sz="4" w:space="0"/>
              <w:left w:val="single" w:color="000000" w:sz="4" w:space="0"/>
              <w:bottom w:val="single" w:color="000000" w:sz="4" w:space="0"/>
              <w:right w:val="single" w:color="000000" w:sz="4" w:space="0"/>
            </w:tcBorders>
            <w:vAlign w:val="center"/>
          </w:tcPr>
          <w:p w14:paraId="1A5A47A0">
            <w:pPr>
              <w:jc w:val="center"/>
              <w:rPr>
                <w:rFonts w:ascii="仿宋" w:hAnsi="仿宋" w:cs="仿宋"/>
                <w:color w:val="000000"/>
              </w:rPr>
            </w:pPr>
          </w:p>
        </w:tc>
      </w:tr>
      <w:tr w14:paraId="687742E5">
        <w:tblPrEx>
          <w:tblCellMar>
            <w:top w:w="0" w:type="dxa"/>
            <w:left w:w="108" w:type="dxa"/>
            <w:bottom w:w="0" w:type="dxa"/>
            <w:right w:w="108" w:type="dxa"/>
          </w:tblCellMar>
        </w:tblPrEx>
        <w:trPr>
          <w:trHeight w:val="453" w:hRule="atLeast"/>
        </w:trPr>
        <w:tc>
          <w:tcPr>
            <w:tcW w:w="227" w:type="pct"/>
            <w:vMerge w:val="restart"/>
            <w:tcBorders>
              <w:top w:val="single" w:color="000000" w:sz="4" w:space="0"/>
              <w:left w:val="single" w:color="000000" w:sz="4" w:space="0"/>
              <w:bottom w:val="single" w:color="000000" w:sz="4" w:space="0"/>
              <w:right w:val="single" w:color="000000" w:sz="4" w:space="0"/>
            </w:tcBorders>
            <w:vAlign w:val="center"/>
          </w:tcPr>
          <w:p w14:paraId="4CBA4815">
            <w:pPr>
              <w:widowControl/>
              <w:jc w:val="center"/>
              <w:textAlignment w:val="center"/>
              <w:rPr>
                <w:rFonts w:ascii="仿宋" w:hAnsi="仿宋" w:cs="仿宋"/>
                <w:color w:val="000000"/>
              </w:rPr>
            </w:pPr>
            <w:r>
              <w:rPr>
                <w:rFonts w:hint="eastAsia" w:ascii="仿宋" w:hAnsi="仿宋" w:cs="仿宋"/>
                <w:color w:val="000000"/>
                <w:kern w:val="0"/>
                <w:lang w:bidi="ar"/>
              </w:rPr>
              <w:t>4</w:t>
            </w:r>
          </w:p>
        </w:tc>
        <w:tc>
          <w:tcPr>
            <w:tcW w:w="736" w:type="pct"/>
            <w:vMerge w:val="restart"/>
            <w:tcBorders>
              <w:top w:val="single" w:color="000000" w:sz="4" w:space="0"/>
              <w:left w:val="single" w:color="000000" w:sz="4" w:space="0"/>
              <w:bottom w:val="single" w:color="000000" w:sz="4" w:space="0"/>
              <w:right w:val="single" w:color="000000" w:sz="4" w:space="0"/>
            </w:tcBorders>
            <w:vAlign w:val="center"/>
          </w:tcPr>
          <w:p w14:paraId="0DC4FEC8">
            <w:pPr>
              <w:widowControl/>
              <w:jc w:val="center"/>
              <w:textAlignment w:val="center"/>
              <w:rPr>
                <w:rFonts w:ascii="仿宋" w:hAnsi="仿宋" w:cs="仿宋"/>
                <w:color w:val="000000"/>
              </w:rPr>
            </w:pPr>
            <w:r>
              <w:rPr>
                <w:rFonts w:hint="eastAsia" w:ascii="仿宋" w:hAnsi="仿宋" w:cs="仿宋"/>
                <w:color w:val="000000"/>
                <w:kern w:val="0"/>
                <w:lang w:bidi="ar"/>
              </w:rPr>
              <w:t>安全管理（每</w:t>
            </w:r>
            <w:r>
              <w:rPr>
                <w:rFonts w:hint="eastAsia" w:ascii="仿宋" w:hAnsi="仿宋" w:cs="仿宋"/>
                <w:color w:val="000000"/>
                <w:kern w:val="0"/>
                <w:lang w:val="en-US" w:eastAsia="zh-CN" w:bidi="ar"/>
              </w:rPr>
              <w:t>项</w:t>
            </w:r>
            <w:r>
              <w:rPr>
                <w:rFonts w:hint="eastAsia" w:ascii="仿宋" w:hAnsi="仿宋" w:cs="仿宋"/>
                <w:color w:val="000000"/>
                <w:kern w:val="0"/>
                <w:lang w:bidi="ar"/>
              </w:rPr>
              <w:t xml:space="preserve">  5 分，共 20 分）（1-5 分，1 分最差，5 分最好）</w:t>
            </w:r>
          </w:p>
        </w:tc>
        <w:tc>
          <w:tcPr>
            <w:tcW w:w="2316" w:type="pct"/>
            <w:tcBorders>
              <w:top w:val="single" w:color="000000" w:sz="4" w:space="0"/>
              <w:left w:val="single" w:color="000000" w:sz="4" w:space="0"/>
              <w:bottom w:val="single" w:color="000000" w:sz="4" w:space="0"/>
              <w:right w:val="nil"/>
            </w:tcBorders>
            <w:vAlign w:val="center"/>
          </w:tcPr>
          <w:p w14:paraId="6BFCA525">
            <w:pPr>
              <w:widowControl/>
              <w:jc w:val="center"/>
              <w:textAlignment w:val="center"/>
              <w:rPr>
                <w:rFonts w:ascii="仿宋" w:hAnsi="仿宋" w:cs="仿宋"/>
                <w:color w:val="000000"/>
              </w:rPr>
            </w:pPr>
            <w:r>
              <w:rPr>
                <w:rFonts w:hint="eastAsia" w:ascii="仿宋" w:hAnsi="仿宋" w:cs="仿宋"/>
                <w:color w:val="000000"/>
                <w:kern w:val="0"/>
                <w:lang w:bidi="ar"/>
              </w:rPr>
              <w:t>1. 用电安全（有无漏电等安全隐患）</w:t>
            </w:r>
          </w:p>
        </w:tc>
        <w:tc>
          <w:tcPr>
            <w:tcW w:w="1015" w:type="pct"/>
            <w:vMerge w:val="restart"/>
            <w:tcBorders>
              <w:top w:val="single" w:color="000000" w:sz="4" w:space="0"/>
              <w:left w:val="single" w:color="000000" w:sz="4" w:space="0"/>
              <w:right w:val="single" w:color="000000" w:sz="4" w:space="0"/>
            </w:tcBorders>
            <w:vAlign w:val="center"/>
          </w:tcPr>
          <w:p w14:paraId="7A3DA843">
            <w:pPr>
              <w:widowControl/>
              <w:jc w:val="center"/>
              <w:textAlignment w:val="center"/>
              <w:rPr>
                <w:rFonts w:hint="eastAsia" w:ascii="仿宋" w:hAnsi="仿宋" w:cs="仿宋"/>
                <w:color w:val="000000"/>
                <w:kern w:val="0"/>
                <w:lang w:bidi="ar"/>
              </w:rPr>
            </w:pPr>
            <w:r>
              <w:rPr>
                <w:rFonts w:hint="eastAsia" w:ascii="仿宋" w:hAnsi="仿宋" w:cs="仿宋"/>
                <w:color w:val="000000"/>
                <w:kern w:val="0"/>
                <w:lang w:val="en-US" w:eastAsia="zh-CN" w:bidi="ar"/>
              </w:rPr>
              <w:t>每项服务情况按优5分、良4分、中3分、一般2分、基本合格1分、差0分</w:t>
            </w:r>
          </w:p>
        </w:tc>
        <w:tc>
          <w:tcPr>
            <w:tcW w:w="703" w:type="pct"/>
            <w:vMerge w:val="restart"/>
            <w:tcBorders>
              <w:top w:val="single" w:color="000000" w:sz="4" w:space="0"/>
              <w:left w:val="single" w:color="000000" w:sz="4" w:space="0"/>
              <w:bottom w:val="single" w:color="000000" w:sz="4" w:space="0"/>
              <w:right w:val="single" w:color="000000" w:sz="4" w:space="0"/>
            </w:tcBorders>
            <w:vAlign w:val="center"/>
          </w:tcPr>
          <w:p w14:paraId="715EBF65">
            <w:pPr>
              <w:widowControl/>
              <w:jc w:val="center"/>
              <w:textAlignment w:val="center"/>
              <w:rPr>
                <w:rFonts w:ascii="仿宋" w:hAnsi="仿宋" w:cs="仿宋"/>
                <w:color w:val="000000"/>
              </w:rPr>
            </w:pPr>
            <w:r>
              <w:rPr>
                <w:rFonts w:hint="eastAsia" w:ascii="仿宋" w:hAnsi="仿宋" w:cs="仿宋"/>
                <w:color w:val="000000"/>
                <w:kern w:val="0"/>
                <w:lang w:bidi="ar"/>
              </w:rPr>
              <w:t>通过现场确定或问卷调查</w:t>
            </w:r>
          </w:p>
        </w:tc>
      </w:tr>
      <w:tr w14:paraId="63040BDF">
        <w:tblPrEx>
          <w:tblCellMar>
            <w:top w:w="0" w:type="dxa"/>
            <w:left w:w="108" w:type="dxa"/>
            <w:bottom w:w="0" w:type="dxa"/>
            <w:right w:w="108" w:type="dxa"/>
          </w:tblCellMar>
        </w:tblPrEx>
        <w:trPr>
          <w:trHeight w:val="453" w:hRule="atLeast"/>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63DD0446">
            <w:pPr>
              <w:jc w:val="center"/>
              <w:rPr>
                <w:rFonts w:ascii="仿宋" w:hAnsi="仿宋" w:cs="仿宋"/>
                <w:color w:val="000000"/>
              </w:rPr>
            </w:pPr>
          </w:p>
        </w:tc>
        <w:tc>
          <w:tcPr>
            <w:tcW w:w="736" w:type="pct"/>
            <w:vMerge w:val="continue"/>
            <w:tcBorders>
              <w:top w:val="single" w:color="000000" w:sz="4" w:space="0"/>
              <w:left w:val="single" w:color="000000" w:sz="4" w:space="0"/>
              <w:bottom w:val="single" w:color="000000" w:sz="4" w:space="0"/>
              <w:right w:val="single" w:color="000000" w:sz="4" w:space="0"/>
            </w:tcBorders>
            <w:vAlign w:val="center"/>
          </w:tcPr>
          <w:p w14:paraId="7871AF5F">
            <w:pPr>
              <w:jc w:val="center"/>
              <w:rPr>
                <w:rFonts w:ascii="仿宋" w:hAnsi="仿宋" w:cs="仿宋"/>
                <w:color w:val="000000"/>
              </w:rPr>
            </w:pPr>
          </w:p>
        </w:tc>
        <w:tc>
          <w:tcPr>
            <w:tcW w:w="2316" w:type="pct"/>
            <w:tcBorders>
              <w:top w:val="single" w:color="000000" w:sz="4" w:space="0"/>
              <w:left w:val="single" w:color="000000" w:sz="4" w:space="0"/>
              <w:bottom w:val="single" w:color="000000" w:sz="4" w:space="0"/>
              <w:right w:val="nil"/>
            </w:tcBorders>
            <w:vAlign w:val="center"/>
          </w:tcPr>
          <w:p w14:paraId="3C6005C9">
            <w:pPr>
              <w:widowControl/>
              <w:jc w:val="center"/>
              <w:textAlignment w:val="center"/>
              <w:rPr>
                <w:rFonts w:ascii="仿宋" w:hAnsi="仿宋" w:cs="仿宋"/>
                <w:color w:val="000000"/>
              </w:rPr>
            </w:pPr>
            <w:r>
              <w:rPr>
                <w:rFonts w:hint="eastAsia" w:ascii="仿宋" w:hAnsi="仿宋" w:cs="仿宋"/>
                <w:color w:val="000000"/>
                <w:kern w:val="0"/>
                <w:lang w:bidi="ar"/>
              </w:rPr>
              <w:t>2. 消防安全（消防器材配备及有效性情况）</w:t>
            </w:r>
          </w:p>
        </w:tc>
        <w:tc>
          <w:tcPr>
            <w:tcW w:w="1015" w:type="pct"/>
            <w:vMerge w:val="continue"/>
            <w:tcBorders>
              <w:left w:val="single" w:color="000000" w:sz="4" w:space="0"/>
              <w:right w:val="single" w:color="000000" w:sz="4" w:space="0"/>
            </w:tcBorders>
            <w:vAlign w:val="center"/>
          </w:tcPr>
          <w:p w14:paraId="3B980BEA">
            <w:pPr>
              <w:jc w:val="center"/>
              <w:rPr>
                <w:rFonts w:ascii="仿宋" w:hAnsi="仿宋" w:cs="仿宋"/>
                <w:color w:val="000000"/>
              </w:rPr>
            </w:pPr>
          </w:p>
        </w:tc>
        <w:tc>
          <w:tcPr>
            <w:tcW w:w="703" w:type="pct"/>
            <w:vMerge w:val="continue"/>
            <w:tcBorders>
              <w:top w:val="single" w:color="000000" w:sz="4" w:space="0"/>
              <w:left w:val="single" w:color="000000" w:sz="4" w:space="0"/>
              <w:bottom w:val="single" w:color="000000" w:sz="4" w:space="0"/>
              <w:right w:val="single" w:color="000000" w:sz="4" w:space="0"/>
            </w:tcBorders>
            <w:vAlign w:val="center"/>
          </w:tcPr>
          <w:p w14:paraId="146D1566">
            <w:pPr>
              <w:jc w:val="center"/>
              <w:rPr>
                <w:rFonts w:ascii="仿宋" w:hAnsi="仿宋" w:cs="仿宋"/>
                <w:color w:val="000000"/>
              </w:rPr>
            </w:pPr>
          </w:p>
        </w:tc>
      </w:tr>
      <w:tr w14:paraId="04CAA1CC">
        <w:tblPrEx>
          <w:tblCellMar>
            <w:top w:w="0" w:type="dxa"/>
            <w:left w:w="108" w:type="dxa"/>
            <w:bottom w:w="0" w:type="dxa"/>
            <w:right w:w="108" w:type="dxa"/>
          </w:tblCellMar>
        </w:tblPrEx>
        <w:trPr>
          <w:trHeight w:val="897" w:hRule="atLeast"/>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2FFEEE16">
            <w:pPr>
              <w:jc w:val="center"/>
              <w:rPr>
                <w:rFonts w:ascii="仿宋" w:hAnsi="仿宋" w:cs="仿宋"/>
                <w:color w:val="000000"/>
              </w:rPr>
            </w:pPr>
          </w:p>
        </w:tc>
        <w:tc>
          <w:tcPr>
            <w:tcW w:w="736" w:type="pct"/>
            <w:vMerge w:val="continue"/>
            <w:tcBorders>
              <w:top w:val="single" w:color="000000" w:sz="4" w:space="0"/>
              <w:left w:val="single" w:color="000000" w:sz="4" w:space="0"/>
              <w:bottom w:val="single" w:color="000000" w:sz="4" w:space="0"/>
              <w:right w:val="single" w:color="000000" w:sz="4" w:space="0"/>
            </w:tcBorders>
            <w:vAlign w:val="center"/>
          </w:tcPr>
          <w:p w14:paraId="7CEBDF3A">
            <w:pPr>
              <w:jc w:val="center"/>
              <w:rPr>
                <w:rFonts w:ascii="仿宋" w:hAnsi="仿宋" w:cs="仿宋"/>
                <w:color w:val="000000"/>
              </w:rPr>
            </w:pPr>
          </w:p>
        </w:tc>
        <w:tc>
          <w:tcPr>
            <w:tcW w:w="2316" w:type="pct"/>
            <w:tcBorders>
              <w:top w:val="single" w:color="000000" w:sz="4" w:space="0"/>
              <w:left w:val="single" w:color="000000" w:sz="4" w:space="0"/>
              <w:bottom w:val="single" w:color="000000" w:sz="4" w:space="0"/>
              <w:right w:val="nil"/>
            </w:tcBorders>
            <w:vAlign w:val="center"/>
          </w:tcPr>
          <w:p w14:paraId="765010E0">
            <w:pPr>
              <w:widowControl/>
              <w:jc w:val="center"/>
              <w:textAlignment w:val="center"/>
              <w:rPr>
                <w:rFonts w:ascii="仿宋" w:hAnsi="仿宋" w:cs="仿宋"/>
                <w:color w:val="000000"/>
              </w:rPr>
            </w:pPr>
            <w:r>
              <w:rPr>
                <w:rFonts w:hint="eastAsia" w:ascii="仿宋" w:hAnsi="仿宋" w:cs="仿宋"/>
                <w:color w:val="000000"/>
                <w:kern w:val="0"/>
                <w:lang w:bidi="ar"/>
              </w:rPr>
              <w:t>3. 操作安全（操作说明和警示标识是否清晰易懂）</w:t>
            </w:r>
          </w:p>
        </w:tc>
        <w:tc>
          <w:tcPr>
            <w:tcW w:w="1015" w:type="pct"/>
            <w:vMerge w:val="continue"/>
            <w:tcBorders>
              <w:left w:val="single" w:color="000000" w:sz="4" w:space="0"/>
              <w:right w:val="single" w:color="000000" w:sz="4" w:space="0"/>
            </w:tcBorders>
            <w:vAlign w:val="center"/>
          </w:tcPr>
          <w:p w14:paraId="0218A428">
            <w:pPr>
              <w:jc w:val="center"/>
              <w:rPr>
                <w:rFonts w:ascii="仿宋" w:hAnsi="仿宋" w:cs="仿宋"/>
                <w:color w:val="000000"/>
              </w:rPr>
            </w:pPr>
          </w:p>
        </w:tc>
        <w:tc>
          <w:tcPr>
            <w:tcW w:w="703" w:type="pct"/>
            <w:vMerge w:val="continue"/>
            <w:tcBorders>
              <w:top w:val="single" w:color="000000" w:sz="4" w:space="0"/>
              <w:left w:val="single" w:color="000000" w:sz="4" w:space="0"/>
              <w:bottom w:val="single" w:color="000000" w:sz="4" w:space="0"/>
              <w:right w:val="single" w:color="000000" w:sz="4" w:space="0"/>
            </w:tcBorders>
            <w:vAlign w:val="center"/>
          </w:tcPr>
          <w:p w14:paraId="27FF0823">
            <w:pPr>
              <w:jc w:val="center"/>
              <w:rPr>
                <w:rFonts w:ascii="仿宋" w:hAnsi="仿宋" w:cs="仿宋"/>
                <w:color w:val="000000"/>
              </w:rPr>
            </w:pPr>
          </w:p>
        </w:tc>
      </w:tr>
      <w:tr w14:paraId="76CF5AC1">
        <w:tblPrEx>
          <w:tblCellMar>
            <w:top w:w="0" w:type="dxa"/>
            <w:left w:w="108" w:type="dxa"/>
            <w:bottom w:w="0" w:type="dxa"/>
            <w:right w:w="108" w:type="dxa"/>
          </w:tblCellMar>
        </w:tblPrEx>
        <w:trPr>
          <w:trHeight w:val="453" w:hRule="atLeast"/>
        </w:trPr>
        <w:tc>
          <w:tcPr>
            <w:tcW w:w="227" w:type="pct"/>
            <w:vMerge w:val="continue"/>
            <w:tcBorders>
              <w:top w:val="single" w:color="000000" w:sz="4" w:space="0"/>
              <w:left w:val="single" w:color="000000" w:sz="4" w:space="0"/>
              <w:bottom w:val="single" w:color="000000" w:sz="4" w:space="0"/>
              <w:right w:val="single" w:color="000000" w:sz="4" w:space="0"/>
            </w:tcBorders>
            <w:vAlign w:val="center"/>
          </w:tcPr>
          <w:p w14:paraId="2C58C059">
            <w:pPr>
              <w:jc w:val="center"/>
              <w:rPr>
                <w:rFonts w:ascii="仿宋" w:hAnsi="仿宋" w:cs="仿宋"/>
                <w:color w:val="000000"/>
              </w:rPr>
            </w:pPr>
          </w:p>
        </w:tc>
        <w:tc>
          <w:tcPr>
            <w:tcW w:w="736" w:type="pct"/>
            <w:vMerge w:val="continue"/>
            <w:tcBorders>
              <w:top w:val="single" w:color="000000" w:sz="4" w:space="0"/>
              <w:left w:val="single" w:color="000000" w:sz="4" w:space="0"/>
              <w:bottom w:val="single" w:color="000000" w:sz="4" w:space="0"/>
              <w:right w:val="single" w:color="000000" w:sz="4" w:space="0"/>
            </w:tcBorders>
            <w:vAlign w:val="center"/>
          </w:tcPr>
          <w:p w14:paraId="7B8748B4">
            <w:pPr>
              <w:jc w:val="center"/>
              <w:rPr>
                <w:rFonts w:ascii="仿宋" w:hAnsi="仿宋" w:cs="仿宋"/>
                <w:color w:val="000000"/>
              </w:rPr>
            </w:pPr>
          </w:p>
        </w:tc>
        <w:tc>
          <w:tcPr>
            <w:tcW w:w="2316" w:type="pct"/>
            <w:tcBorders>
              <w:top w:val="single" w:color="000000" w:sz="4" w:space="0"/>
              <w:left w:val="single" w:color="000000" w:sz="4" w:space="0"/>
              <w:bottom w:val="single" w:color="000000" w:sz="4" w:space="0"/>
              <w:right w:val="nil"/>
            </w:tcBorders>
            <w:vAlign w:val="center"/>
          </w:tcPr>
          <w:p w14:paraId="7AB6323C">
            <w:pPr>
              <w:widowControl/>
              <w:jc w:val="center"/>
              <w:textAlignment w:val="center"/>
              <w:rPr>
                <w:rFonts w:ascii="仿宋" w:hAnsi="仿宋" w:cs="仿宋"/>
                <w:color w:val="000000"/>
              </w:rPr>
            </w:pPr>
            <w:r>
              <w:rPr>
                <w:rFonts w:hint="eastAsia" w:ascii="仿宋" w:hAnsi="仿宋" w:cs="仿宋"/>
                <w:color w:val="000000"/>
                <w:kern w:val="0"/>
                <w:lang w:bidi="ar"/>
              </w:rPr>
              <w:t>4. 支付安全（支付系统是否安全可靠）</w:t>
            </w:r>
          </w:p>
        </w:tc>
        <w:tc>
          <w:tcPr>
            <w:tcW w:w="1015" w:type="pct"/>
            <w:vMerge w:val="continue"/>
            <w:tcBorders>
              <w:left w:val="single" w:color="000000" w:sz="4" w:space="0"/>
              <w:bottom w:val="single" w:color="000000" w:sz="4" w:space="0"/>
              <w:right w:val="single" w:color="000000" w:sz="4" w:space="0"/>
            </w:tcBorders>
            <w:vAlign w:val="center"/>
          </w:tcPr>
          <w:p w14:paraId="1F57EB6B">
            <w:pPr>
              <w:jc w:val="center"/>
              <w:rPr>
                <w:rFonts w:ascii="仿宋" w:hAnsi="仿宋" w:cs="仿宋"/>
                <w:color w:val="000000"/>
              </w:rPr>
            </w:pPr>
          </w:p>
        </w:tc>
        <w:tc>
          <w:tcPr>
            <w:tcW w:w="703" w:type="pct"/>
            <w:vMerge w:val="continue"/>
            <w:tcBorders>
              <w:top w:val="single" w:color="000000" w:sz="4" w:space="0"/>
              <w:left w:val="single" w:color="000000" w:sz="4" w:space="0"/>
              <w:bottom w:val="single" w:color="000000" w:sz="4" w:space="0"/>
              <w:right w:val="single" w:color="000000" w:sz="4" w:space="0"/>
            </w:tcBorders>
            <w:vAlign w:val="center"/>
          </w:tcPr>
          <w:p w14:paraId="4B35BA4A">
            <w:pPr>
              <w:jc w:val="center"/>
              <w:rPr>
                <w:rFonts w:ascii="仿宋" w:hAnsi="仿宋" w:cs="仿宋"/>
                <w:color w:val="000000"/>
              </w:rPr>
            </w:pPr>
          </w:p>
        </w:tc>
      </w:tr>
      <w:tr w14:paraId="13549F42">
        <w:tblPrEx>
          <w:tblCellMar>
            <w:top w:w="0" w:type="dxa"/>
            <w:left w:w="108" w:type="dxa"/>
            <w:bottom w:w="0" w:type="dxa"/>
            <w:right w:w="108" w:type="dxa"/>
          </w:tblCellMar>
        </w:tblPrEx>
        <w:trPr>
          <w:trHeight w:val="907" w:hRule="atLeast"/>
        </w:trPr>
        <w:tc>
          <w:tcPr>
            <w:tcW w:w="227" w:type="pct"/>
            <w:tcBorders>
              <w:top w:val="single" w:color="000000" w:sz="4" w:space="0"/>
              <w:left w:val="single" w:color="000000" w:sz="4" w:space="0"/>
              <w:bottom w:val="single" w:color="000000" w:sz="4" w:space="0"/>
              <w:right w:val="single" w:color="000000" w:sz="4" w:space="0"/>
            </w:tcBorders>
            <w:vAlign w:val="center"/>
          </w:tcPr>
          <w:p w14:paraId="112FC002">
            <w:pPr>
              <w:widowControl/>
              <w:jc w:val="center"/>
              <w:textAlignment w:val="center"/>
              <w:rPr>
                <w:rFonts w:ascii="仿宋" w:hAnsi="仿宋" w:cs="仿宋"/>
                <w:color w:val="000000"/>
              </w:rPr>
            </w:pPr>
            <w:r>
              <w:rPr>
                <w:rFonts w:hint="eastAsia" w:ascii="仿宋" w:hAnsi="仿宋" w:cs="仿宋"/>
                <w:color w:val="000000"/>
                <w:kern w:val="0"/>
                <w:lang w:bidi="ar"/>
              </w:rPr>
              <w:t>5</w:t>
            </w:r>
          </w:p>
        </w:tc>
        <w:tc>
          <w:tcPr>
            <w:tcW w:w="736" w:type="pct"/>
            <w:tcBorders>
              <w:top w:val="single" w:color="000000" w:sz="4" w:space="0"/>
              <w:left w:val="single" w:color="000000" w:sz="4" w:space="0"/>
              <w:bottom w:val="single" w:color="000000" w:sz="4" w:space="0"/>
              <w:right w:val="single" w:color="000000" w:sz="4" w:space="0"/>
            </w:tcBorders>
            <w:vAlign w:val="center"/>
          </w:tcPr>
          <w:p w14:paraId="3C7C7C4D">
            <w:pPr>
              <w:widowControl/>
              <w:jc w:val="center"/>
              <w:textAlignment w:val="center"/>
              <w:rPr>
                <w:rFonts w:ascii="仿宋" w:hAnsi="仿宋" w:cs="仿宋"/>
                <w:color w:val="000000"/>
              </w:rPr>
            </w:pPr>
            <w:r>
              <w:rPr>
                <w:rFonts w:hint="eastAsia" w:ascii="仿宋" w:hAnsi="仿宋" w:cs="仿宋"/>
                <w:color w:val="000000"/>
                <w:kern w:val="0"/>
                <w:lang w:bidi="ar"/>
              </w:rPr>
              <w:t>综合评价（</w:t>
            </w:r>
            <w:r>
              <w:rPr>
                <w:rFonts w:hint="eastAsia" w:ascii="仿宋" w:hAnsi="仿宋" w:cs="仿宋"/>
                <w:color w:val="000000"/>
                <w:kern w:val="0"/>
                <w:lang w:val="en-US" w:eastAsia="zh-CN" w:bidi="ar"/>
              </w:rPr>
              <w:t>2</w:t>
            </w:r>
            <w:r>
              <w:rPr>
                <w:rFonts w:hint="eastAsia" w:ascii="仿宋" w:hAnsi="仿宋" w:cs="仿宋"/>
                <w:color w:val="000000"/>
                <w:kern w:val="0"/>
                <w:lang w:bidi="ar"/>
              </w:rPr>
              <w:t>5 分）​</w:t>
            </w:r>
          </w:p>
        </w:tc>
        <w:tc>
          <w:tcPr>
            <w:tcW w:w="2316" w:type="pct"/>
            <w:tcBorders>
              <w:top w:val="single" w:color="000000" w:sz="4" w:space="0"/>
              <w:left w:val="single" w:color="000000" w:sz="4" w:space="0"/>
              <w:bottom w:val="single" w:color="000000" w:sz="4" w:space="0"/>
              <w:right w:val="nil"/>
            </w:tcBorders>
            <w:vAlign w:val="center"/>
          </w:tcPr>
          <w:p w14:paraId="1E50AEC9">
            <w:pPr>
              <w:widowControl/>
              <w:jc w:val="center"/>
              <w:textAlignment w:val="center"/>
              <w:rPr>
                <w:rFonts w:ascii="仿宋" w:hAnsi="仿宋" w:cs="仿宋"/>
                <w:color w:val="000000"/>
              </w:rPr>
            </w:pPr>
            <w:r>
              <w:rPr>
                <w:rFonts w:hint="eastAsia" w:ascii="仿宋" w:hAnsi="仿宋" w:cs="仿宋"/>
                <w:color w:val="000000"/>
                <w:kern w:val="0"/>
                <w:lang w:bidi="ar"/>
              </w:rPr>
              <w:t>对学校自助洗衣机服务单位的整体满意度</w:t>
            </w:r>
          </w:p>
        </w:tc>
        <w:tc>
          <w:tcPr>
            <w:tcW w:w="1015" w:type="pct"/>
            <w:tcBorders>
              <w:top w:val="single" w:color="000000" w:sz="4" w:space="0"/>
              <w:left w:val="single" w:color="000000" w:sz="4" w:space="0"/>
              <w:bottom w:val="single" w:color="000000" w:sz="4" w:space="0"/>
              <w:right w:val="single" w:color="000000" w:sz="4" w:space="0"/>
            </w:tcBorders>
            <w:vAlign w:val="center"/>
          </w:tcPr>
          <w:p w14:paraId="4E28DCA0">
            <w:pPr>
              <w:widowControl/>
              <w:jc w:val="center"/>
              <w:textAlignment w:val="center"/>
              <w:rPr>
                <w:rFonts w:hint="eastAsia" w:ascii="仿宋" w:hAnsi="仿宋" w:cs="仿宋"/>
                <w:color w:val="000000"/>
                <w:kern w:val="0"/>
                <w:lang w:bidi="ar"/>
              </w:rPr>
            </w:pPr>
            <w:r>
              <w:rPr>
                <w:rFonts w:hint="eastAsia" w:ascii="仿宋" w:hAnsi="仿宋" w:cs="仿宋"/>
                <w:color w:val="000000"/>
                <w:kern w:val="0"/>
                <w:lang w:val="en-US" w:eastAsia="zh-CN" w:bidi="ar"/>
              </w:rPr>
              <w:t>每项服务情况按优25分、良20分、中15分、一般10分、基本合格5分、差0分</w:t>
            </w:r>
          </w:p>
        </w:tc>
        <w:tc>
          <w:tcPr>
            <w:tcW w:w="703" w:type="pct"/>
            <w:tcBorders>
              <w:top w:val="single" w:color="000000" w:sz="4" w:space="0"/>
              <w:left w:val="single" w:color="000000" w:sz="4" w:space="0"/>
              <w:bottom w:val="single" w:color="000000" w:sz="4" w:space="0"/>
              <w:right w:val="single" w:color="000000" w:sz="4" w:space="0"/>
            </w:tcBorders>
            <w:vAlign w:val="center"/>
          </w:tcPr>
          <w:p w14:paraId="073304FE">
            <w:pPr>
              <w:widowControl/>
              <w:jc w:val="center"/>
              <w:textAlignment w:val="center"/>
              <w:rPr>
                <w:rFonts w:ascii="仿宋" w:hAnsi="仿宋" w:cs="仿宋"/>
                <w:color w:val="000000"/>
              </w:rPr>
            </w:pPr>
            <w:r>
              <w:rPr>
                <w:rFonts w:hint="eastAsia" w:ascii="仿宋" w:hAnsi="仿宋" w:cs="仿宋"/>
                <w:color w:val="000000"/>
                <w:kern w:val="0"/>
                <w:lang w:bidi="ar"/>
              </w:rPr>
              <w:t>问卷调查</w:t>
            </w:r>
          </w:p>
        </w:tc>
      </w:tr>
    </w:tbl>
    <w:p w14:paraId="47D89BDA">
      <w:pPr>
        <w:spacing w:line="360" w:lineRule="auto"/>
        <w:rPr>
          <w:color w:val="FF000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F091DD"/>
    <w:multiLevelType w:val="singleLevel"/>
    <w:tmpl w:val="CCF091DD"/>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3572"/>
    <w:rsid w:val="006453DB"/>
    <w:rsid w:val="00F33572"/>
    <w:rsid w:val="0254634B"/>
    <w:rsid w:val="02835100"/>
    <w:rsid w:val="0B9F01C5"/>
    <w:rsid w:val="272675B0"/>
    <w:rsid w:val="2FC7774F"/>
    <w:rsid w:val="3A06303A"/>
    <w:rsid w:val="61612C22"/>
    <w:rsid w:val="7F811F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仿宋" w:cs="Times New Roman"/>
      <w:kern w:val="2"/>
      <w:sz w:val="24"/>
      <w:szCs w:val="24"/>
      <w:lang w:val="en-US" w:eastAsia="zh-CN" w:bidi="ar-SA"/>
    </w:rPr>
  </w:style>
  <w:style w:type="paragraph" w:styleId="3">
    <w:name w:val="heading 1"/>
    <w:basedOn w:val="1"/>
    <w:link w:val="10"/>
    <w:qFormat/>
    <w:uiPriority w:val="0"/>
    <w:pPr>
      <w:spacing w:line="360" w:lineRule="auto"/>
      <w:jc w:val="center"/>
      <w:outlineLvl w:val="0"/>
    </w:pPr>
    <w:rPr>
      <w:rFonts w:ascii="仿宋" w:hAnsi="仿宋" w:cs="仿宋"/>
      <w:b/>
      <w:kern w:val="44"/>
      <w:sz w:val="32"/>
    </w:rPr>
  </w:style>
  <w:style w:type="character" w:default="1" w:styleId="7">
    <w:name w:val="Default Paragraph Font"/>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rFonts w:ascii="宋体" w:hAnsi="宋体"/>
      <w:sz w:val="18"/>
      <w:szCs w:val="18"/>
    </w:rPr>
  </w:style>
  <w:style w:type="paragraph" w:styleId="4">
    <w:name w:val="footer"/>
    <w:basedOn w:val="1"/>
    <w:qFormat/>
    <w:uiPriority w:val="0"/>
    <w:pPr>
      <w:tabs>
        <w:tab w:val="center" w:pos="4153"/>
        <w:tab w:val="right" w:pos="8306"/>
      </w:tabs>
      <w:snapToGrid w:val="0"/>
    </w:pPr>
    <w:rPr>
      <w:kern w:val="0"/>
      <w:sz w:val="18"/>
      <w:szCs w:val="18"/>
    </w:rPr>
  </w:style>
  <w:style w:type="paragraph" w:styleId="5">
    <w:name w:val="Normal (Web)"/>
    <w:basedOn w:val="1"/>
    <w:qFormat/>
    <w:uiPriority w:val="0"/>
    <w:pPr>
      <w:widowControl/>
      <w:spacing w:before="100" w:beforeAutospacing="1" w:after="100" w:afterAutospacing="1"/>
    </w:pPr>
    <w:rPr>
      <w:rFonts w:ascii="宋体" w:hAnsi="宋体" w:cs="宋体"/>
      <w:kern w:val="0"/>
    </w:rPr>
  </w:style>
  <w:style w:type="character" w:styleId="8">
    <w:name w:val="Strong"/>
    <w:basedOn w:val="7"/>
    <w:qFormat/>
    <w:uiPriority w:val="0"/>
    <w:rPr>
      <w:b/>
      <w:bCs/>
    </w:rPr>
  </w:style>
  <w:style w:type="paragraph" w:customStyle="1" w:styleId="9">
    <w:name w:val="1 Char Char Char Char Char Char Char Char Char Char Char Char Char"/>
    <w:basedOn w:val="1"/>
    <w:qFormat/>
    <w:uiPriority w:val="0"/>
    <w:pPr>
      <w:jc w:val="both"/>
    </w:pPr>
    <w:rPr>
      <w:rFonts w:eastAsia="宋体"/>
      <w:sz w:val="28"/>
      <w:szCs w:val="28"/>
    </w:rPr>
  </w:style>
  <w:style w:type="character" w:customStyle="1" w:styleId="10">
    <w:name w:val="标题 1 Char"/>
    <w:link w:val="3"/>
    <w:qFormat/>
    <w:uiPriority w:val="0"/>
    <w:rPr>
      <w:rFonts w:ascii="仿宋" w:hAnsi="仿宋" w:eastAsia="仿宋" w:cs="仿宋"/>
      <w:b/>
      <w:kern w:val="44"/>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QBPC</Company>
  <Pages>6</Pages>
  <Words>3863</Words>
  <Characters>3993</Characters>
  <Lines>29</Lines>
  <Paragraphs>8</Paragraphs>
  <TotalTime>6</TotalTime>
  <ScaleCrop>false</ScaleCrop>
  <LinksUpToDate>false</LinksUpToDate>
  <CharactersWithSpaces>4041</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2025-08-03T04:00:00Z</dcterms:created>
  <dc:creator>TT</dc:creator>
  <cp:lastModifiedBy>WPS_1717382962</cp:lastModifiedBy>
  <dcterms:modified xsi:type="dcterms:W3CDTF">2025-08-04T05:18:12Z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KSOTemplateDocerSaveRecord">
    <vt:lpwstr>eyJoZGlkIjoiZjQ4MDJjZjUwYzQyODA1NjI3NzM0OWUzMmZiYTIzNWUiLCJ1c2VySWQiOiIxNjAzNjg4NzI3In0=</vt:lpwstr>
  </property>
  <property fmtid="{D5CDD505-2E9C-101B-9397-08002B2CF9AE}" pid="4" name="ICV">
    <vt:lpwstr>C21E05D1C53D465A884AD86F68DE7D73_12</vt:lpwstr>
  </property>
</Properties>
</file>