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D2B37C">
      <w:pPr>
        <w:spacing w:after="156" w:afterLines="50"/>
        <w:jc w:val="center"/>
        <w:rPr>
          <w:rFonts w:ascii="方正小标宋简体" w:eastAsia="方正小标宋简体"/>
          <w:sz w:val="44"/>
        </w:rPr>
      </w:pPr>
      <w:bookmarkStart w:id="0" w:name="_Toc28359022"/>
      <w:bookmarkStart w:id="1" w:name="_Toc35393809"/>
      <w:r>
        <w:rPr>
          <w:rFonts w:hint="eastAsia" w:ascii="方正小标宋简体" w:eastAsia="方正小标宋简体"/>
          <w:sz w:val="44"/>
          <w:lang w:val="en-US" w:eastAsia="zh-CN"/>
        </w:rPr>
        <w:t>成交</w:t>
      </w:r>
      <w:r>
        <w:rPr>
          <w:rFonts w:hint="eastAsia" w:ascii="方正小标宋简体" w:eastAsia="方正小标宋简体"/>
          <w:sz w:val="44"/>
        </w:rPr>
        <w:t>结果公告</w:t>
      </w:r>
      <w:bookmarkEnd w:id="0"/>
      <w:bookmarkEnd w:id="1"/>
    </w:p>
    <w:p w14:paraId="141D3557">
      <w:pPr>
        <w:rPr>
          <w:rFonts w:hint="default" w:ascii="仿宋" w:hAnsi="仿宋" w:eastAsia="仿宋" w:cs="Times New Roman"/>
          <w:sz w:val="28"/>
          <w:szCs w:val="28"/>
          <w:lang w:val="en-US" w:eastAsia="zh-CN"/>
        </w:rPr>
      </w:pPr>
      <w:r>
        <w:rPr>
          <w:rFonts w:hint="eastAsia" w:ascii="黑体" w:hAnsi="黑体" w:eastAsia="黑体"/>
          <w:sz w:val="28"/>
          <w:szCs w:val="28"/>
        </w:rPr>
        <w:t>一</w:t>
      </w:r>
      <w:r>
        <w:rPr>
          <w:rFonts w:ascii="黑体" w:hAnsi="黑体" w:eastAsia="黑体"/>
          <w:sz w:val="28"/>
          <w:szCs w:val="28"/>
        </w:rPr>
        <w:t>、</w:t>
      </w:r>
      <w:r>
        <w:rPr>
          <w:rFonts w:hint="eastAsia" w:ascii="黑体" w:hAnsi="黑体" w:eastAsia="黑体"/>
          <w:sz w:val="28"/>
          <w:szCs w:val="28"/>
        </w:rPr>
        <w:t>项目编号：</w:t>
      </w:r>
      <w:r>
        <w:rPr>
          <w:rFonts w:hint="eastAsia" w:ascii="仿宋" w:hAnsi="仿宋" w:eastAsia="仿宋" w:cs="Times New Roman"/>
          <w:sz w:val="28"/>
          <w:szCs w:val="28"/>
        </w:rPr>
        <w:t>YJHZB2025-0</w:t>
      </w:r>
      <w:r>
        <w:rPr>
          <w:rFonts w:hint="eastAsia" w:ascii="仿宋" w:hAnsi="仿宋" w:eastAsia="仿宋" w:cs="Times New Roman"/>
          <w:sz w:val="28"/>
          <w:szCs w:val="28"/>
          <w:lang w:val="en-US" w:eastAsia="zh-CN"/>
        </w:rPr>
        <w:t>15</w:t>
      </w:r>
    </w:p>
    <w:p w14:paraId="7C26A273">
      <w:pPr>
        <w:ind w:left="1960" w:hanging="1960" w:hangingChars="700"/>
        <w:rPr>
          <w:rFonts w:hint="default" w:ascii="仿宋" w:hAnsi="仿宋" w:eastAsia="黑体" w:cs="仿宋_GB2312"/>
          <w:sz w:val="28"/>
          <w:szCs w:val="28"/>
          <w:lang w:val="en-US" w:eastAsia="zh-CN"/>
        </w:rPr>
      </w:pPr>
      <w:r>
        <w:rPr>
          <w:rFonts w:hint="eastAsia" w:ascii="黑体" w:hAnsi="黑体" w:eastAsia="黑体"/>
          <w:sz w:val="28"/>
          <w:szCs w:val="28"/>
        </w:rPr>
        <w:t>二</w:t>
      </w:r>
      <w:r>
        <w:rPr>
          <w:rFonts w:ascii="黑体" w:hAnsi="黑体" w:eastAsia="黑体"/>
          <w:sz w:val="28"/>
          <w:szCs w:val="28"/>
        </w:rPr>
        <w:t>、</w:t>
      </w:r>
      <w:r>
        <w:rPr>
          <w:rFonts w:hint="eastAsia" w:ascii="黑体" w:hAnsi="黑体" w:eastAsia="黑体"/>
          <w:sz w:val="28"/>
          <w:szCs w:val="28"/>
        </w:rPr>
        <w:t>项目名称：《白银高新区银东工业园地下渗水应急监测》第三方服务项目二次</w:t>
      </w:r>
    </w:p>
    <w:p w14:paraId="676E26C0">
      <w:pPr>
        <w:rPr>
          <w:rFonts w:ascii="黑体" w:hAnsi="黑体" w:eastAsia="黑体"/>
          <w:sz w:val="28"/>
          <w:szCs w:val="28"/>
        </w:rPr>
      </w:pPr>
      <w:r>
        <w:rPr>
          <w:rFonts w:hint="eastAsia" w:ascii="黑体" w:hAnsi="黑体" w:eastAsia="黑体"/>
          <w:sz w:val="28"/>
          <w:szCs w:val="28"/>
        </w:rPr>
        <w:t>三、中标信息</w:t>
      </w:r>
    </w:p>
    <w:p w14:paraId="253C6C08">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rPr>
        <w:t>供应商名称：甘肃华谱检测科技有限公司</w:t>
      </w:r>
    </w:p>
    <w:p w14:paraId="75BC69DD">
      <w:pPr>
        <w:keepNext w:val="0"/>
        <w:keepLines w:val="0"/>
        <w:widowControl/>
        <w:suppressLineNumbers w:val="0"/>
        <w:ind w:firstLine="560" w:firstLineChars="200"/>
        <w:jc w:val="left"/>
        <w:rPr>
          <w:rFonts w:hint="default" w:ascii="仿宋" w:hAnsi="仿宋" w:eastAsia="仿宋"/>
          <w:color w:val="auto"/>
          <w:sz w:val="28"/>
          <w:szCs w:val="28"/>
          <w:lang w:val="en-US" w:eastAsia="zh-CN"/>
        </w:rPr>
      </w:pPr>
      <w:r>
        <w:rPr>
          <w:rFonts w:hint="eastAsia" w:ascii="仿宋" w:hAnsi="仿宋" w:eastAsia="仿宋"/>
          <w:color w:val="auto"/>
          <w:sz w:val="28"/>
          <w:szCs w:val="28"/>
        </w:rPr>
        <w:t>供应商地址：</w:t>
      </w:r>
      <w:r>
        <w:rPr>
          <w:rFonts w:hint="eastAsia" w:ascii="仿宋" w:hAnsi="仿宋" w:eastAsia="仿宋"/>
          <w:color w:val="auto"/>
          <w:sz w:val="28"/>
          <w:szCs w:val="28"/>
          <w:lang w:val="en-US" w:eastAsia="zh-CN"/>
        </w:rPr>
        <w:t>甘肃省兰州新区中川园区中川镇中川街西段5383号</w:t>
      </w:r>
    </w:p>
    <w:p w14:paraId="204B8F07">
      <w:pPr>
        <w:ind w:left="1959" w:leftChars="266" w:hanging="1400" w:hangingChars="500"/>
        <w:rPr>
          <w:rFonts w:hint="eastAsia" w:ascii="仿宋" w:hAnsi="仿宋" w:eastAsia="仿宋"/>
          <w:color w:val="auto"/>
          <w:sz w:val="28"/>
          <w:szCs w:val="28"/>
        </w:rPr>
      </w:pPr>
      <w:r>
        <w:rPr>
          <w:rFonts w:hint="eastAsia" w:ascii="仿宋" w:hAnsi="仿宋" w:eastAsia="仿宋"/>
          <w:color w:val="auto"/>
          <w:sz w:val="28"/>
          <w:szCs w:val="28"/>
        </w:rPr>
        <w:t>中标金额：人民币</w:t>
      </w:r>
      <w:r>
        <w:rPr>
          <w:rFonts w:hint="eastAsia" w:ascii="仿宋" w:hAnsi="仿宋" w:eastAsia="仿宋" w:cs="仿宋"/>
          <w:color w:val="auto"/>
          <w:sz w:val="28"/>
          <w:szCs w:val="28"/>
          <w:lang w:val="en-US" w:eastAsia="zh-CN"/>
        </w:rPr>
        <w:t xml:space="preserve">20.6 </w:t>
      </w:r>
      <w:r>
        <w:rPr>
          <w:rFonts w:hint="eastAsia" w:ascii="仿宋" w:hAnsi="仿宋" w:eastAsia="仿宋"/>
          <w:color w:val="auto"/>
          <w:sz w:val="28"/>
          <w:szCs w:val="28"/>
        </w:rPr>
        <w:t>万元（大写:</w:t>
      </w:r>
      <w:r>
        <w:rPr>
          <w:rFonts w:hint="eastAsia" w:ascii="仿宋" w:hAnsi="仿宋" w:eastAsia="仿宋" w:cs="仿宋"/>
          <w:color w:val="auto"/>
          <w:sz w:val="28"/>
          <w:szCs w:val="28"/>
          <w:lang w:val="en-US" w:eastAsia="zh-CN"/>
        </w:rPr>
        <w:t>贰拾万零陆仟元整</w:t>
      </w:r>
      <w:r>
        <w:rPr>
          <w:rFonts w:hint="eastAsia" w:ascii="仿宋" w:hAnsi="仿宋" w:eastAsia="仿宋"/>
          <w:color w:val="auto"/>
          <w:sz w:val="28"/>
          <w:szCs w:val="28"/>
        </w:rPr>
        <w:t>）</w:t>
      </w:r>
    </w:p>
    <w:p w14:paraId="3A3A1A6A">
      <w:pPr>
        <w:rPr>
          <w:rFonts w:ascii="黑体" w:hAnsi="黑体" w:eastAsia="黑体"/>
          <w:sz w:val="28"/>
          <w:szCs w:val="28"/>
        </w:rPr>
      </w:pPr>
      <w:r>
        <w:rPr>
          <w:rFonts w:hint="eastAsia" w:ascii="黑体" w:hAnsi="黑体" w:eastAsia="黑体"/>
          <w:sz w:val="28"/>
          <w:szCs w:val="28"/>
        </w:rPr>
        <w:t>四、主要标的信息</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8"/>
      </w:tblGrid>
      <w:tr w14:paraId="1E1C6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188" w:type="dxa"/>
            <w:vAlign w:val="top"/>
          </w:tcPr>
          <w:p w14:paraId="124D0F88">
            <w:pPr>
              <w:jc w:val="center"/>
              <w:rPr>
                <w:rFonts w:ascii="仿宋" w:hAnsi="仿宋" w:eastAsia="仿宋"/>
                <w:kern w:val="0"/>
                <w:sz w:val="28"/>
                <w:szCs w:val="28"/>
              </w:rPr>
            </w:pPr>
            <w:r>
              <w:rPr>
                <w:rFonts w:hint="eastAsia" w:ascii="仿宋" w:hAnsi="仿宋" w:eastAsia="仿宋"/>
                <w:kern w:val="0"/>
                <w:sz w:val="28"/>
                <w:szCs w:val="28"/>
                <w:lang w:val="en-US" w:eastAsia="zh-CN"/>
              </w:rPr>
              <w:t>服</w:t>
            </w:r>
            <w:r>
              <w:rPr>
                <w:rFonts w:hint="eastAsia" w:ascii="仿宋" w:hAnsi="仿宋" w:eastAsia="仿宋"/>
                <w:kern w:val="0"/>
                <w:sz w:val="28"/>
                <w:szCs w:val="28"/>
              </w:rPr>
              <w:t>务类</w:t>
            </w:r>
          </w:p>
        </w:tc>
      </w:tr>
      <w:tr w14:paraId="576F2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188" w:type="dxa"/>
            <w:vAlign w:val="top"/>
          </w:tcPr>
          <w:p w14:paraId="5E454058">
            <w:pPr>
              <w:rPr>
                <w:rFonts w:hint="eastAsia" w:ascii="仿宋" w:hAnsi="仿宋" w:eastAsia="仿宋"/>
                <w:kern w:val="0"/>
                <w:sz w:val="28"/>
                <w:szCs w:val="28"/>
              </w:rPr>
            </w:pPr>
            <w:r>
              <w:rPr>
                <w:rFonts w:hint="eastAsia" w:ascii="仿宋" w:hAnsi="仿宋" w:eastAsia="仿宋"/>
                <w:kern w:val="0"/>
                <w:sz w:val="28"/>
                <w:szCs w:val="28"/>
              </w:rPr>
              <w:t>名称：《白银高新区银东工业园地下渗水应急监测》第三方服务项目二次</w:t>
            </w:r>
          </w:p>
          <w:p w14:paraId="4CB99DA6">
            <w:pPr>
              <w:rPr>
                <w:rFonts w:hint="default" w:ascii="仿宋" w:hAnsi="仿宋" w:eastAsia="仿宋"/>
                <w:kern w:val="0"/>
                <w:sz w:val="28"/>
                <w:szCs w:val="28"/>
                <w:lang w:val="en-US" w:eastAsia="zh-CN"/>
              </w:rPr>
            </w:pPr>
            <w:r>
              <w:rPr>
                <w:rFonts w:hint="eastAsia" w:ascii="仿宋" w:hAnsi="仿宋" w:eastAsia="仿宋"/>
                <w:kern w:val="0"/>
                <w:sz w:val="28"/>
                <w:szCs w:val="28"/>
              </w:rPr>
              <w:t>服务范围：详见</w:t>
            </w:r>
            <w:r>
              <w:rPr>
                <w:rFonts w:hint="eastAsia" w:ascii="仿宋" w:hAnsi="仿宋" w:eastAsia="仿宋"/>
                <w:kern w:val="0"/>
                <w:sz w:val="28"/>
                <w:szCs w:val="28"/>
                <w:lang w:val="en-US" w:eastAsia="zh-CN"/>
              </w:rPr>
              <w:t>招标公告</w:t>
            </w:r>
          </w:p>
          <w:p w14:paraId="362D6783">
            <w:pPr>
              <w:rPr>
                <w:rFonts w:hint="eastAsia" w:ascii="仿宋" w:hAnsi="仿宋" w:eastAsia="仿宋"/>
                <w:kern w:val="0"/>
                <w:sz w:val="28"/>
                <w:szCs w:val="28"/>
                <w:lang w:val="en-US" w:eastAsia="zh-CN"/>
              </w:rPr>
            </w:pPr>
            <w:r>
              <w:rPr>
                <w:rFonts w:hint="eastAsia" w:ascii="仿宋" w:hAnsi="仿宋" w:eastAsia="仿宋"/>
                <w:kern w:val="0"/>
                <w:sz w:val="28"/>
                <w:szCs w:val="28"/>
              </w:rPr>
              <w:t>服务要求：</w:t>
            </w:r>
            <w:r>
              <w:rPr>
                <w:rFonts w:hint="eastAsia" w:ascii="仿宋" w:hAnsi="仿宋" w:eastAsia="仿宋"/>
                <w:kern w:val="0"/>
                <w:sz w:val="28"/>
                <w:szCs w:val="28"/>
                <w:lang w:val="en-US" w:eastAsia="zh-CN"/>
              </w:rPr>
              <w:t>详见招标公告</w:t>
            </w:r>
          </w:p>
          <w:p w14:paraId="3AA0EC30">
            <w:pPr>
              <w:rPr>
                <w:rFonts w:hint="default" w:ascii="仿宋" w:hAnsi="仿宋" w:eastAsia="仿宋"/>
                <w:kern w:val="0"/>
                <w:sz w:val="28"/>
                <w:szCs w:val="28"/>
                <w:lang w:val="en-US" w:eastAsia="zh-CN"/>
              </w:rPr>
            </w:pPr>
            <w:r>
              <w:rPr>
                <w:rFonts w:hint="eastAsia" w:ascii="仿宋" w:hAnsi="仿宋" w:eastAsia="仿宋"/>
                <w:kern w:val="0"/>
                <w:sz w:val="28"/>
                <w:szCs w:val="28"/>
              </w:rPr>
              <w:t>服务时间：</w:t>
            </w:r>
            <w:r>
              <w:rPr>
                <w:rFonts w:hint="eastAsia" w:ascii="仿宋" w:hAnsi="仿宋" w:eastAsia="仿宋"/>
                <w:kern w:val="0"/>
                <w:sz w:val="28"/>
                <w:szCs w:val="28"/>
                <w:lang w:val="en-US" w:eastAsia="zh-CN"/>
              </w:rPr>
              <w:t>详见招标公告</w:t>
            </w:r>
          </w:p>
          <w:p w14:paraId="2E139D38">
            <w:pPr>
              <w:rPr>
                <w:rFonts w:hint="eastAsia" w:ascii="仿宋" w:hAnsi="仿宋" w:eastAsia="宋体"/>
                <w:kern w:val="0"/>
                <w:sz w:val="28"/>
                <w:szCs w:val="28"/>
                <w:lang w:val="en-US" w:eastAsia="zh-CN"/>
              </w:rPr>
            </w:pPr>
            <w:r>
              <w:rPr>
                <w:rFonts w:hint="eastAsia" w:ascii="仿宋" w:hAnsi="仿宋" w:eastAsia="仿宋"/>
                <w:kern w:val="0"/>
                <w:sz w:val="28"/>
                <w:szCs w:val="28"/>
              </w:rPr>
              <w:t>服务标准：</w:t>
            </w:r>
            <w:r>
              <w:rPr>
                <w:rFonts w:hint="eastAsia" w:ascii="仿宋" w:hAnsi="仿宋" w:eastAsia="仿宋"/>
                <w:kern w:val="0"/>
                <w:sz w:val="28"/>
                <w:szCs w:val="28"/>
                <w:lang w:val="en-US" w:eastAsia="zh-CN"/>
              </w:rPr>
              <w:t>合格</w:t>
            </w:r>
          </w:p>
        </w:tc>
      </w:tr>
    </w:tbl>
    <w:p w14:paraId="59CBA844">
      <w:pPr>
        <w:numPr>
          <w:ilvl w:val="0"/>
          <w:numId w:val="1"/>
        </w:numPr>
        <w:rPr>
          <w:rFonts w:hint="eastAsia" w:ascii="仿宋" w:hAnsi="仿宋" w:eastAsia="仿宋" w:cs="仿宋"/>
          <w:color w:val="auto"/>
          <w:sz w:val="28"/>
          <w:szCs w:val="28"/>
          <w:lang w:val="en-US" w:eastAsia="zh-CN"/>
        </w:rPr>
      </w:pPr>
      <w:r>
        <w:rPr>
          <w:rFonts w:hint="eastAsia" w:ascii="黑体" w:hAnsi="黑体" w:eastAsia="黑体"/>
          <w:sz w:val="28"/>
          <w:szCs w:val="28"/>
        </w:rPr>
        <w:t>磋商专家名单：</w:t>
      </w:r>
      <w:r>
        <w:rPr>
          <w:rFonts w:hint="eastAsia" w:ascii="仿宋" w:hAnsi="仿宋" w:eastAsia="仿宋" w:cs="仿宋"/>
          <w:color w:val="auto"/>
          <w:sz w:val="28"/>
          <w:szCs w:val="28"/>
          <w:lang w:val="en-US" w:eastAsia="zh-CN"/>
        </w:rPr>
        <w:t xml:space="preserve">蒋志超 韩永刚 罗梦洁 </w:t>
      </w:r>
    </w:p>
    <w:p w14:paraId="72E27C6E">
      <w:pPr>
        <w:numPr>
          <w:ilvl w:val="0"/>
          <w:numId w:val="0"/>
        </w:numPr>
        <w:rPr>
          <w:rFonts w:hint="default" w:ascii="黑体" w:hAnsi="黑体" w:eastAsia="黑体"/>
          <w:sz w:val="28"/>
          <w:szCs w:val="28"/>
          <w:lang w:val="en-US" w:eastAsia="zh-CN"/>
        </w:rPr>
      </w:pPr>
      <w:r>
        <w:rPr>
          <w:rFonts w:hint="eastAsia" w:ascii="黑体" w:hAnsi="黑体" w:eastAsia="黑体"/>
          <w:sz w:val="28"/>
          <w:szCs w:val="28"/>
        </w:rPr>
        <w:t>六、代理服务收费标准及金额：</w:t>
      </w:r>
      <w:r>
        <w:rPr>
          <w:rFonts w:hint="eastAsia" w:ascii="仿宋" w:hAnsi="仿宋" w:eastAsia="仿宋" w:cs="宋体"/>
          <w:kern w:val="0"/>
          <w:sz w:val="28"/>
          <w:szCs w:val="28"/>
          <w:lang w:val="en-US" w:eastAsia="zh-CN"/>
        </w:rPr>
        <w:t>3132元</w:t>
      </w:r>
    </w:p>
    <w:p w14:paraId="2AE6E3CA">
      <w:pPr>
        <w:rPr>
          <w:rFonts w:ascii="黑体" w:hAnsi="黑体" w:eastAsia="黑体"/>
          <w:sz w:val="28"/>
          <w:szCs w:val="28"/>
        </w:rPr>
      </w:pPr>
      <w:r>
        <w:rPr>
          <w:rFonts w:hint="eastAsia" w:ascii="黑体" w:hAnsi="黑体" w:eastAsia="黑体"/>
          <w:sz w:val="28"/>
          <w:szCs w:val="28"/>
        </w:rPr>
        <w:t>七、公告期限</w:t>
      </w:r>
    </w:p>
    <w:p w14:paraId="0F5B1BA0">
      <w:pPr>
        <w:ind w:firstLine="560" w:firstLineChars="200"/>
        <w:rPr>
          <w:rFonts w:ascii="仿宋" w:hAnsi="仿宋" w:eastAsia="仿宋" w:cs="宋体"/>
          <w:kern w:val="0"/>
          <w:sz w:val="28"/>
          <w:szCs w:val="28"/>
        </w:rPr>
      </w:pPr>
      <w:r>
        <w:rPr>
          <w:rFonts w:hint="eastAsia" w:ascii="仿宋" w:hAnsi="仿宋" w:eastAsia="仿宋" w:cs="宋体"/>
          <w:kern w:val="0"/>
          <w:sz w:val="28"/>
          <w:szCs w:val="28"/>
        </w:rPr>
        <w:t>自本公告发布之日起</w:t>
      </w:r>
      <w:r>
        <w:rPr>
          <w:rFonts w:ascii="仿宋" w:hAnsi="仿宋" w:eastAsia="仿宋" w:cs="宋体"/>
          <w:kern w:val="0"/>
          <w:sz w:val="28"/>
          <w:szCs w:val="28"/>
        </w:rPr>
        <w:t>1</w:t>
      </w:r>
      <w:r>
        <w:rPr>
          <w:rFonts w:hint="eastAsia" w:ascii="仿宋" w:hAnsi="仿宋" w:eastAsia="仿宋" w:cs="宋体"/>
          <w:kern w:val="0"/>
          <w:sz w:val="28"/>
          <w:szCs w:val="28"/>
        </w:rPr>
        <w:t>个工作日。</w:t>
      </w:r>
    </w:p>
    <w:p w14:paraId="484F37CB">
      <w:pPr>
        <w:rPr>
          <w:rFonts w:ascii="黑体" w:hAnsi="黑体" w:eastAsia="黑体" w:cs="仿宋"/>
          <w:sz w:val="28"/>
          <w:szCs w:val="28"/>
        </w:rPr>
      </w:pPr>
      <w:r>
        <w:rPr>
          <w:rFonts w:hint="eastAsia" w:ascii="黑体" w:hAnsi="黑体" w:eastAsia="黑体" w:cs="仿宋"/>
          <w:sz w:val="28"/>
          <w:szCs w:val="28"/>
        </w:rPr>
        <w:t>八、其他补充事宜</w:t>
      </w:r>
    </w:p>
    <w:p w14:paraId="24506BC6">
      <w:pPr>
        <w:ind w:firstLine="560" w:firstLineChars="200"/>
        <w:rPr>
          <w:rFonts w:hint="eastAsia" w:ascii="仿宋" w:hAnsi="仿宋" w:eastAsia="仿宋" w:cs="宋体"/>
          <w:sz w:val="28"/>
          <w:szCs w:val="28"/>
        </w:rPr>
      </w:pPr>
      <w:r>
        <w:rPr>
          <w:rFonts w:hint="eastAsia" w:ascii="仿宋" w:hAnsi="仿宋" w:eastAsia="仿宋" w:cs="宋体"/>
          <w:kern w:val="0"/>
          <w:sz w:val="28"/>
          <w:szCs w:val="28"/>
        </w:rPr>
        <w:t>1.项目预算：</w:t>
      </w:r>
      <w:r>
        <w:rPr>
          <w:rFonts w:hint="eastAsia" w:ascii="仿宋" w:hAnsi="仿宋" w:eastAsia="仿宋" w:cs="仿宋"/>
          <w:color w:val="auto"/>
          <w:sz w:val="28"/>
          <w:szCs w:val="28"/>
          <w:lang w:val="en-US" w:eastAsia="zh-CN"/>
        </w:rPr>
        <w:t>20.88</w:t>
      </w:r>
      <w:r>
        <w:rPr>
          <w:rFonts w:hint="eastAsia" w:ascii="仿宋" w:hAnsi="仿宋" w:eastAsia="仿宋" w:cs="宋体"/>
          <w:sz w:val="28"/>
          <w:szCs w:val="28"/>
        </w:rPr>
        <w:t>万元(人民币）</w:t>
      </w:r>
    </w:p>
    <w:p w14:paraId="7ACD8D82">
      <w:pPr>
        <w:ind w:firstLine="560" w:firstLineChars="200"/>
        <w:rPr>
          <w:rFonts w:ascii="仿宋" w:hAnsi="仿宋" w:eastAsia="仿宋" w:cs="宋体"/>
          <w:kern w:val="0"/>
          <w:sz w:val="28"/>
          <w:szCs w:val="28"/>
        </w:rPr>
      </w:pPr>
      <w:r>
        <w:rPr>
          <w:rFonts w:hint="eastAsia" w:ascii="仿宋" w:hAnsi="仿宋" w:eastAsia="仿宋" w:cs="宋体"/>
          <w:kern w:val="0"/>
          <w:sz w:val="28"/>
          <w:szCs w:val="28"/>
        </w:rPr>
        <w:t>2.采购方式：竞争性磋商</w:t>
      </w:r>
    </w:p>
    <w:p w14:paraId="3A8BACCF">
      <w:pPr>
        <w:ind w:firstLine="560" w:firstLineChars="200"/>
        <w:rPr>
          <w:rFonts w:hint="eastAsia" w:ascii="仿宋" w:hAnsi="仿宋" w:eastAsia="仿宋" w:cs="宋体"/>
          <w:kern w:val="0"/>
          <w:sz w:val="28"/>
          <w:szCs w:val="28"/>
          <w:lang w:val="en-US" w:eastAsia="zh-CN"/>
        </w:rPr>
      </w:pPr>
      <w:r>
        <w:rPr>
          <w:rFonts w:hint="eastAsia" w:ascii="仿宋" w:hAnsi="仿宋" w:eastAsia="仿宋" w:cs="宋体"/>
          <w:kern w:val="0"/>
          <w:sz w:val="28"/>
          <w:szCs w:val="28"/>
        </w:rPr>
        <w:t>3.评标日期及地点：</w:t>
      </w:r>
      <w:r>
        <w:rPr>
          <w:rFonts w:hint="eastAsia" w:ascii="仿宋" w:hAnsi="仿宋" w:eastAsia="仿宋" w:cs="仿宋"/>
          <w:color w:val="auto"/>
          <w:sz w:val="28"/>
          <w:szCs w:val="28"/>
          <w:lang w:val="en-US" w:eastAsia="zh-CN"/>
        </w:rPr>
        <w:t>2025</w:t>
      </w:r>
      <w:r>
        <w:rPr>
          <w:rFonts w:hint="eastAsia" w:ascii="仿宋" w:hAnsi="仿宋" w:eastAsia="仿宋" w:cs="宋体"/>
          <w:kern w:val="0"/>
          <w:sz w:val="28"/>
          <w:szCs w:val="28"/>
        </w:rPr>
        <w:t>年</w:t>
      </w:r>
      <w:r>
        <w:rPr>
          <w:rFonts w:hint="eastAsia" w:ascii="仿宋" w:hAnsi="仿宋" w:eastAsia="仿宋" w:cs="仿宋"/>
          <w:color w:val="auto"/>
          <w:sz w:val="28"/>
          <w:szCs w:val="28"/>
          <w:lang w:val="en-US" w:eastAsia="zh-CN"/>
        </w:rPr>
        <w:t>8</w:t>
      </w:r>
      <w:r>
        <w:rPr>
          <w:rFonts w:hint="eastAsia" w:ascii="仿宋" w:hAnsi="仿宋" w:eastAsia="仿宋" w:cs="宋体"/>
          <w:kern w:val="0"/>
          <w:sz w:val="28"/>
          <w:szCs w:val="28"/>
        </w:rPr>
        <w:t>月</w:t>
      </w:r>
      <w:r>
        <w:rPr>
          <w:rFonts w:hint="eastAsia" w:ascii="仿宋" w:hAnsi="仿宋" w:eastAsia="仿宋" w:cs="仿宋"/>
          <w:color w:val="auto"/>
          <w:sz w:val="28"/>
          <w:szCs w:val="28"/>
          <w:lang w:val="en-US" w:eastAsia="zh-CN"/>
        </w:rPr>
        <w:t>6</w:t>
      </w:r>
      <w:r>
        <w:rPr>
          <w:rFonts w:hint="eastAsia" w:ascii="仿宋" w:hAnsi="仿宋" w:eastAsia="仿宋" w:cs="宋体"/>
          <w:kern w:val="0"/>
          <w:sz w:val="28"/>
          <w:szCs w:val="28"/>
        </w:rPr>
        <w:t>日，</w:t>
      </w:r>
      <w:r>
        <w:rPr>
          <w:rFonts w:hint="eastAsia" w:ascii="仿宋_GB2312" w:hAnsi="仿宋_GB2312" w:eastAsia="仿宋_GB2312" w:cs="仿宋_GB2312"/>
          <w:sz w:val="30"/>
          <w:szCs w:val="30"/>
          <w:highlight w:val="none"/>
          <w:lang w:eastAsia="zh-CN"/>
        </w:rPr>
        <w:t>白银高新技术产业开发区管理委员会</w:t>
      </w:r>
      <w:r>
        <w:rPr>
          <w:rFonts w:hint="eastAsia" w:ascii="仿宋" w:hAnsi="仿宋" w:eastAsia="仿宋" w:cs="宋体"/>
          <w:kern w:val="0"/>
          <w:sz w:val="28"/>
          <w:szCs w:val="28"/>
        </w:rPr>
        <w:t>会议室</w:t>
      </w:r>
      <w:r>
        <w:rPr>
          <w:rFonts w:hint="eastAsia" w:ascii="仿宋" w:hAnsi="仿宋" w:eastAsia="仿宋" w:cs="宋体"/>
          <w:kern w:val="0"/>
          <w:sz w:val="28"/>
          <w:szCs w:val="28"/>
          <w:lang w:eastAsia="zh-CN"/>
        </w:rPr>
        <w:t>（</w:t>
      </w:r>
      <w:r>
        <w:rPr>
          <w:rFonts w:hint="eastAsia" w:ascii="仿宋" w:hAnsi="仿宋" w:eastAsia="仿宋" w:cs="宋体"/>
          <w:kern w:val="0"/>
          <w:sz w:val="28"/>
          <w:szCs w:val="28"/>
        </w:rPr>
        <w:t>白银市白银区</w:t>
      </w:r>
      <w:r>
        <w:rPr>
          <w:rFonts w:hint="eastAsia" w:ascii="仿宋" w:hAnsi="仿宋" w:eastAsia="仿宋" w:cs="宋体"/>
          <w:kern w:val="0"/>
          <w:sz w:val="28"/>
          <w:szCs w:val="28"/>
          <w:lang w:eastAsia="zh-CN"/>
        </w:rPr>
        <w:t>南环路</w:t>
      </w:r>
      <w:r>
        <w:rPr>
          <w:rFonts w:hint="eastAsia" w:ascii="仿宋" w:hAnsi="仿宋" w:eastAsia="仿宋" w:cs="宋体"/>
          <w:kern w:val="0"/>
          <w:sz w:val="28"/>
          <w:szCs w:val="28"/>
        </w:rPr>
        <w:t>4号</w:t>
      </w:r>
      <w:r>
        <w:rPr>
          <w:rFonts w:hint="eastAsia" w:ascii="仿宋" w:hAnsi="仿宋" w:eastAsia="仿宋" w:cs="宋体"/>
          <w:kern w:val="0"/>
          <w:sz w:val="28"/>
          <w:szCs w:val="28"/>
          <w:lang w:eastAsia="zh-CN"/>
        </w:rPr>
        <w:t>）。</w:t>
      </w:r>
    </w:p>
    <w:p w14:paraId="641C5DD1">
      <w:pPr>
        <w:ind w:firstLine="560" w:firstLineChars="200"/>
        <w:rPr>
          <w:rFonts w:ascii="仿宋" w:hAnsi="仿宋" w:eastAsia="仿宋" w:cs="宋体"/>
          <w:kern w:val="0"/>
          <w:sz w:val="28"/>
          <w:szCs w:val="28"/>
        </w:rPr>
      </w:pPr>
      <w:r>
        <w:rPr>
          <w:rFonts w:hint="eastAsia" w:ascii="仿宋" w:hAnsi="仿宋" w:eastAsia="仿宋" w:cs="宋体"/>
          <w:kern w:val="0"/>
          <w:sz w:val="28"/>
          <w:szCs w:val="28"/>
        </w:rPr>
        <w:t>4.磋商意见</w:t>
      </w:r>
    </w:p>
    <w:p w14:paraId="24FEF32D">
      <w:pPr>
        <w:ind w:firstLine="560" w:firstLineChars="200"/>
        <w:rPr>
          <w:rFonts w:ascii="仿宋" w:hAnsi="仿宋" w:eastAsia="仿宋" w:cs="宋体"/>
          <w:kern w:val="0"/>
          <w:sz w:val="28"/>
          <w:szCs w:val="28"/>
        </w:rPr>
      </w:pPr>
      <w:r>
        <w:rPr>
          <w:rFonts w:hint="eastAsia" w:ascii="仿宋" w:hAnsi="仿宋" w:eastAsia="仿宋" w:cs="宋体"/>
          <w:kern w:val="0"/>
          <w:sz w:val="28"/>
          <w:szCs w:val="28"/>
        </w:rPr>
        <w:t>评标委员会根据采购文件中的评标办法进行评审，结果如下：</w:t>
      </w:r>
    </w:p>
    <w:tbl>
      <w:tblPr>
        <w:tblStyle w:val="6"/>
        <w:tblW w:w="875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autofit"/>
        <w:tblCellMar>
          <w:top w:w="0" w:type="dxa"/>
          <w:left w:w="0" w:type="dxa"/>
          <w:bottom w:w="0" w:type="dxa"/>
          <w:right w:w="0" w:type="dxa"/>
        </w:tblCellMar>
      </w:tblPr>
      <w:tblGrid>
        <w:gridCol w:w="3363"/>
        <w:gridCol w:w="1110"/>
        <w:gridCol w:w="1260"/>
        <w:gridCol w:w="1035"/>
        <w:gridCol w:w="810"/>
        <w:gridCol w:w="1180"/>
      </w:tblGrid>
      <w:tr w14:paraId="48BBADD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0" w:type="dxa"/>
            <w:left w:w="0" w:type="dxa"/>
            <w:bottom w:w="0" w:type="dxa"/>
            <w:right w:w="0" w:type="dxa"/>
          </w:tblCellMar>
        </w:tblPrEx>
        <w:trPr>
          <w:trHeight w:val="839" w:hRule="atLeast"/>
          <w:jc w:val="center"/>
        </w:trPr>
        <w:tc>
          <w:tcPr>
            <w:tcW w:w="3363" w:type="dxa"/>
            <w:shd w:val="clear" w:color="auto" w:fill="auto"/>
            <w:tcMar>
              <w:top w:w="14" w:type="dxa"/>
              <w:left w:w="14" w:type="dxa"/>
              <w:bottom w:w="14" w:type="dxa"/>
              <w:right w:w="14" w:type="dxa"/>
            </w:tcMar>
            <w:vAlign w:val="center"/>
          </w:tcPr>
          <w:p w14:paraId="1ED51320">
            <w:pPr>
              <w:widowControl/>
              <w:spacing w:line="400" w:lineRule="exact"/>
              <w:jc w:val="center"/>
              <w:rPr>
                <w:rFonts w:ascii="仿宋" w:hAnsi="仿宋" w:eastAsia="仿宋" w:cs="宋体"/>
                <w:kern w:val="0"/>
                <w:sz w:val="28"/>
                <w:szCs w:val="28"/>
              </w:rPr>
            </w:pPr>
            <w:r>
              <w:rPr>
                <w:rFonts w:hint="eastAsia" w:ascii="仿宋" w:hAnsi="仿宋" w:eastAsia="仿宋" w:cs="宋体"/>
                <w:kern w:val="0"/>
                <w:sz w:val="28"/>
                <w:szCs w:val="28"/>
              </w:rPr>
              <w:t>投标单位</w:t>
            </w:r>
          </w:p>
        </w:tc>
        <w:tc>
          <w:tcPr>
            <w:tcW w:w="1110" w:type="dxa"/>
            <w:shd w:val="clear" w:color="auto" w:fill="auto"/>
            <w:tcMar>
              <w:top w:w="14" w:type="dxa"/>
              <w:left w:w="14" w:type="dxa"/>
              <w:bottom w:w="14" w:type="dxa"/>
              <w:right w:w="14" w:type="dxa"/>
            </w:tcMar>
            <w:vAlign w:val="center"/>
          </w:tcPr>
          <w:p w14:paraId="348C0287">
            <w:pPr>
              <w:widowControl/>
              <w:spacing w:line="400" w:lineRule="exact"/>
              <w:jc w:val="center"/>
              <w:rPr>
                <w:rFonts w:ascii="仿宋" w:hAnsi="仿宋" w:eastAsia="仿宋" w:cs="宋体"/>
                <w:kern w:val="0"/>
                <w:sz w:val="28"/>
                <w:szCs w:val="28"/>
              </w:rPr>
            </w:pPr>
            <w:r>
              <w:rPr>
                <w:rFonts w:hint="eastAsia" w:ascii="仿宋" w:hAnsi="仿宋" w:eastAsia="仿宋" w:cs="宋体"/>
                <w:kern w:val="0"/>
                <w:sz w:val="28"/>
                <w:szCs w:val="28"/>
              </w:rPr>
              <w:t>商务</w:t>
            </w:r>
            <w:r>
              <w:rPr>
                <w:rFonts w:hint="eastAsia" w:ascii="仿宋" w:hAnsi="仿宋" w:eastAsia="仿宋" w:cs="宋体"/>
                <w:kern w:val="0"/>
                <w:sz w:val="28"/>
                <w:szCs w:val="28"/>
                <w:lang w:val="en-US" w:eastAsia="zh-CN"/>
              </w:rPr>
              <w:t>及</w:t>
            </w:r>
            <w:r>
              <w:rPr>
                <w:rFonts w:hint="eastAsia" w:ascii="仿宋" w:hAnsi="仿宋" w:eastAsia="仿宋" w:cs="宋体"/>
                <w:kern w:val="0"/>
                <w:sz w:val="28"/>
                <w:szCs w:val="28"/>
              </w:rPr>
              <w:t>技术分</w:t>
            </w:r>
          </w:p>
        </w:tc>
        <w:tc>
          <w:tcPr>
            <w:tcW w:w="1260" w:type="dxa"/>
            <w:shd w:val="clear" w:color="auto" w:fill="auto"/>
            <w:tcMar>
              <w:top w:w="14" w:type="dxa"/>
              <w:left w:w="14" w:type="dxa"/>
              <w:bottom w:w="14" w:type="dxa"/>
              <w:right w:w="14" w:type="dxa"/>
            </w:tcMar>
            <w:vAlign w:val="center"/>
          </w:tcPr>
          <w:p w14:paraId="0B985871">
            <w:pPr>
              <w:widowControl/>
              <w:spacing w:line="400" w:lineRule="exact"/>
              <w:jc w:val="center"/>
              <w:rPr>
                <w:rFonts w:ascii="仿宋" w:hAnsi="仿宋" w:eastAsia="仿宋" w:cs="宋体"/>
                <w:kern w:val="0"/>
                <w:sz w:val="28"/>
                <w:szCs w:val="28"/>
              </w:rPr>
            </w:pPr>
            <w:r>
              <w:rPr>
                <w:rFonts w:hint="eastAsia" w:ascii="仿宋" w:hAnsi="仿宋" w:eastAsia="仿宋" w:cs="宋体"/>
                <w:kern w:val="0"/>
                <w:sz w:val="28"/>
                <w:szCs w:val="28"/>
              </w:rPr>
              <w:t>价格分</w:t>
            </w:r>
          </w:p>
        </w:tc>
        <w:tc>
          <w:tcPr>
            <w:tcW w:w="1035" w:type="dxa"/>
            <w:shd w:val="clear" w:color="auto" w:fill="auto"/>
            <w:tcMar>
              <w:top w:w="14" w:type="dxa"/>
              <w:left w:w="14" w:type="dxa"/>
              <w:bottom w:w="14" w:type="dxa"/>
              <w:right w:w="14" w:type="dxa"/>
            </w:tcMar>
            <w:vAlign w:val="center"/>
          </w:tcPr>
          <w:p w14:paraId="73DF1C72">
            <w:pPr>
              <w:widowControl/>
              <w:spacing w:line="400" w:lineRule="exact"/>
              <w:jc w:val="center"/>
              <w:rPr>
                <w:rFonts w:ascii="仿宋" w:hAnsi="仿宋" w:eastAsia="仿宋" w:cs="宋体"/>
                <w:kern w:val="0"/>
                <w:sz w:val="28"/>
                <w:szCs w:val="28"/>
              </w:rPr>
            </w:pPr>
            <w:r>
              <w:rPr>
                <w:rFonts w:hint="eastAsia" w:ascii="仿宋" w:hAnsi="仿宋" w:eastAsia="仿宋" w:cs="宋体"/>
                <w:kern w:val="0"/>
                <w:sz w:val="28"/>
                <w:szCs w:val="28"/>
              </w:rPr>
              <w:t>总分</w:t>
            </w:r>
          </w:p>
        </w:tc>
        <w:tc>
          <w:tcPr>
            <w:tcW w:w="810" w:type="dxa"/>
            <w:shd w:val="clear" w:color="auto" w:fill="auto"/>
            <w:tcMar>
              <w:top w:w="14" w:type="dxa"/>
              <w:left w:w="14" w:type="dxa"/>
              <w:bottom w:w="14" w:type="dxa"/>
              <w:right w:w="14" w:type="dxa"/>
            </w:tcMar>
            <w:vAlign w:val="center"/>
          </w:tcPr>
          <w:p w14:paraId="2EC9FDD6">
            <w:pPr>
              <w:widowControl/>
              <w:spacing w:line="400" w:lineRule="exact"/>
              <w:jc w:val="center"/>
              <w:rPr>
                <w:rFonts w:hint="eastAsia" w:ascii="仿宋" w:hAnsi="仿宋" w:eastAsia="仿宋" w:cs="宋体"/>
                <w:kern w:val="0"/>
                <w:sz w:val="28"/>
                <w:szCs w:val="28"/>
              </w:rPr>
            </w:pPr>
            <w:r>
              <w:rPr>
                <w:rFonts w:hint="eastAsia" w:ascii="仿宋" w:hAnsi="仿宋" w:eastAsia="仿宋" w:cs="宋体"/>
                <w:kern w:val="0"/>
                <w:sz w:val="28"/>
                <w:szCs w:val="28"/>
              </w:rPr>
              <w:t>名次</w:t>
            </w:r>
          </w:p>
        </w:tc>
        <w:tc>
          <w:tcPr>
            <w:tcW w:w="1180" w:type="dxa"/>
            <w:shd w:val="clear" w:color="auto" w:fill="auto"/>
            <w:tcMar>
              <w:top w:w="14" w:type="dxa"/>
              <w:left w:w="14" w:type="dxa"/>
              <w:bottom w:w="14" w:type="dxa"/>
              <w:right w:w="14" w:type="dxa"/>
            </w:tcMar>
            <w:vAlign w:val="center"/>
          </w:tcPr>
          <w:p w14:paraId="6FB49EE3">
            <w:pPr>
              <w:widowControl/>
              <w:spacing w:line="400" w:lineRule="exact"/>
              <w:jc w:val="center"/>
              <w:rPr>
                <w:rFonts w:hint="default"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中/小/微企业</w:t>
            </w:r>
          </w:p>
        </w:tc>
      </w:tr>
      <w:tr w14:paraId="043AF59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0" w:type="dxa"/>
            <w:left w:w="0" w:type="dxa"/>
            <w:bottom w:w="0" w:type="dxa"/>
            <w:right w:w="0" w:type="dxa"/>
          </w:tblCellMar>
        </w:tblPrEx>
        <w:trPr>
          <w:trHeight w:val="839" w:hRule="atLeast"/>
          <w:jc w:val="center"/>
        </w:trPr>
        <w:tc>
          <w:tcPr>
            <w:tcW w:w="3363" w:type="dxa"/>
            <w:shd w:val="clear" w:color="auto" w:fill="auto"/>
            <w:tcMar>
              <w:top w:w="14" w:type="dxa"/>
              <w:left w:w="14" w:type="dxa"/>
              <w:bottom w:w="14" w:type="dxa"/>
              <w:right w:w="14" w:type="dxa"/>
            </w:tcMar>
            <w:vAlign w:val="center"/>
          </w:tcPr>
          <w:p w14:paraId="4C44005F">
            <w:pPr>
              <w:widowControl/>
              <w:spacing w:line="400" w:lineRule="exact"/>
              <w:jc w:val="center"/>
              <w:rPr>
                <w:rFonts w:hint="eastAsia" w:ascii="仿宋" w:hAnsi="仿宋" w:eastAsia="仿宋" w:cs="仿宋"/>
                <w:color w:val="auto"/>
                <w:kern w:val="0"/>
                <w:sz w:val="28"/>
                <w:szCs w:val="28"/>
                <w:lang w:val="en-US" w:eastAsia="zh-CN"/>
              </w:rPr>
            </w:pPr>
            <w:r>
              <w:rPr>
                <w:rFonts w:hint="eastAsia" w:ascii="仿宋" w:hAnsi="仿宋" w:eastAsia="仿宋" w:cs="仿宋"/>
                <w:i w:val="0"/>
                <w:iCs w:val="0"/>
                <w:color w:val="000000"/>
                <w:kern w:val="0"/>
                <w:sz w:val="32"/>
                <w:szCs w:val="32"/>
                <w:u w:val="none"/>
                <w:lang w:val="en-US" w:eastAsia="zh-CN" w:bidi="ar"/>
              </w:rPr>
              <w:t>甘肃华谱检测科技有限公司</w:t>
            </w:r>
          </w:p>
        </w:tc>
        <w:tc>
          <w:tcPr>
            <w:tcW w:w="1110" w:type="dxa"/>
            <w:shd w:val="clear" w:color="auto" w:fill="auto"/>
            <w:tcMar>
              <w:top w:w="14" w:type="dxa"/>
              <w:left w:w="14" w:type="dxa"/>
              <w:bottom w:w="14" w:type="dxa"/>
              <w:right w:w="14" w:type="dxa"/>
            </w:tcMar>
            <w:vAlign w:val="center"/>
          </w:tcPr>
          <w:p w14:paraId="78803C00">
            <w:pPr>
              <w:widowControl/>
              <w:spacing w:line="400" w:lineRule="exact"/>
              <w:jc w:val="center"/>
              <w:rPr>
                <w:rFonts w:hint="default" w:ascii="仿宋" w:hAnsi="仿宋" w:eastAsia="仿宋" w:cs="仿宋"/>
                <w:color w:val="auto"/>
                <w:kern w:val="0"/>
                <w:sz w:val="28"/>
                <w:szCs w:val="28"/>
                <w:lang w:val="en-US" w:eastAsia="zh-CN"/>
              </w:rPr>
            </w:pPr>
            <w:r>
              <w:rPr>
                <w:rFonts w:hint="eastAsia" w:ascii="仿宋" w:hAnsi="仿宋" w:eastAsia="仿宋" w:cs="仿宋"/>
                <w:color w:val="auto"/>
                <w:kern w:val="0"/>
                <w:sz w:val="28"/>
                <w:szCs w:val="28"/>
                <w:lang w:val="en-US" w:eastAsia="zh-CN"/>
              </w:rPr>
              <w:t>79</w:t>
            </w:r>
          </w:p>
        </w:tc>
        <w:tc>
          <w:tcPr>
            <w:tcW w:w="1260" w:type="dxa"/>
            <w:shd w:val="clear" w:color="auto" w:fill="auto"/>
            <w:tcMar>
              <w:top w:w="14" w:type="dxa"/>
              <w:left w:w="14" w:type="dxa"/>
              <w:bottom w:w="14" w:type="dxa"/>
              <w:right w:w="14" w:type="dxa"/>
            </w:tcMar>
            <w:vAlign w:val="center"/>
          </w:tcPr>
          <w:p w14:paraId="76E87085">
            <w:pPr>
              <w:widowControl/>
              <w:spacing w:line="400" w:lineRule="exact"/>
              <w:jc w:val="center"/>
              <w:rPr>
                <w:rFonts w:hint="default" w:ascii="仿宋" w:hAnsi="仿宋" w:eastAsia="仿宋" w:cs="仿宋"/>
                <w:color w:val="auto"/>
                <w:kern w:val="0"/>
                <w:sz w:val="28"/>
                <w:szCs w:val="28"/>
                <w:lang w:val="en-US" w:eastAsia="zh-CN"/>
              </w:rPr>
            </w:pPr>
            <w:r>
              <w:rPr>
                <w:rFonts w:hint="eastAsia" w:ascii="仿宋" w:hAnsi="仿宋" w:eastAsia="仿宋" w:cs="仿宋"/>
                <w:color w:val="auto"/>
                <w:kern w:val="0"/>
                <w:sz w:val="28"/>
                <w:szCs w:val="28"/>
                <w:lang w:val="en-US" w:eastAsia="zh-CN"/>
              </w:rPr>
              <w:t>20</w:t>
            </w:r>
          </w:p>
        </w:tc>
        <w:tc>
          <w:tcPr>
            <w:tcW w:w="1035" w:type="dxa"/>
            <w:shd w:val="clear" w:color="auto" w:fill="auto"/>
            <w:tcMar>
              <w:top w:w="14" w:type="dxa"/>
              <w:left w:w="14" w:type="dxa"/>
              <w:bottom w:w="14" w:type="dxa"/>
              <w:right w:w="14" w:type="dxa"/>
            </w:tcMar>
            <w:vAlign w:val="center"/>
          </w:tcPr>
          <w:p w14:paraId="06E59CC3">
            <w:pPr>
              <w:widowControl/>
              <w:spacing w:line="400" w:lineRule="exact"/>
              <w:jc w:val="center"/>
              <w:rPr>
                <w:rFonts w:hint="default" w:ascii="仿宋" w:hAnsi="仿宋" w:eastAsia="仿宋" w:cs="仿宋"/>
                <w:color w:val="auto"/>
                <w:kern w:val="0"/>
                <w:sz w:val="28"/>
                <w:szCs w:val="28"/>
                <w:lang w:val="en-US" w:eastAsia="zh-CN"/>
              </w:rPr>
            </w:pPr>
            <w:r>
              <w:rPr>
                <w:rFonts w:hint="eastAsia" w:ascii="仿宋" w:hAnsi="仿宋" w:eastAsia="仿宋" w:cs="仿宋"/>
                <w:color w:val="auto"/>
                <w:kern w:val="0"/>
                <w:sz w:val="28"/>
                <w:szCs w:val="28"/>
                <w:lang w:val="en-US" w:eastAsia="zh-CN"/>
              </w:rPr>
              <w:t>89</w:t>
            </w:r>
          </w:p>
        </w:tc>
        <w:tc>
          <w:tcPr>
            <w:tcW w:w="810" w:type="dxa"/>
            <w:shd w:val="clear" w:color="auto" w:fill="auto"/>
            <w:tcMar>
              <w:top w:w="14" w:type="dxa"/>
              <w:left w:w="14" w:type="dxa"/>
              <w:bottom w:w="14" w:type="dxa"/>
              <w:right w:w="14" w:type="dxa"/>
            </w:tcMar>
            <w:vAlign w:val="center"/>
          </w:tcPr>
          <w:p w14:paraId="35B343F5">
            <w:pPr>
              <w:widowControl/>
              <w:spacing w:line="400" w:lineRule="exact"/>
              <w:jc w:val="center"/>
              <w:rPr>
                <w:rFonts w:hint="eastAsia" w:ascii="仿宋" w:hAnsi="仿宋" w:eastAsia="仿宋" w:cs="仿宋"/>
                <w:color w:val="auto"/>
                <w:kern w:val="0"/>
                <w:sz w:val="28"/>
                <w:szCs w:val="28"/>
                <w:lang w:val="en-US" w:eastAsia="zh-CN"/>
              </w:rPr>
            </w:pPr>
            <w:r>
              <w:rPr>
                <w:rFonts w:hint="eastAsia" w:ascii="仿宋" w:hAnsi="仿宋" w:eastAsia="仿宋" w:cs="仿宋"/>
                <w:color w:val="auto"/>
                <w:kern w:val="0"/>
                <w:sz w:val="28"/>
                <w:szCs w:val="28"/>
                <w:lang w:val="en-US" w:eastAsia="zh-CN"/>
              </w:rPr>
              <w:t>1</w:t>
            </w:r>
          </w:p>
        </w:tc>
        <w:tc>
          <w:tcPr>
            <w:tcW w:w="1180" w:type="dxa"/>
            <w:shd w:val="clear" w:color="auto" w:fill="auto"/>
            <w:tcMar>
              <w:top w:w="14" w:type="dxa"/>
              <w:left w:w="14" w:type="dxa"/>
              <w:bottom w:w="14" w:type="dxa"/>
              <w:right w:w="14" w:type="dxa"/>
            </w:tcMar>
            <w:vAlign w:val="center"/>
          </w:tcPr>
          <w:p w14:paraId="640CD714">
            <w:pPr>
              <w:widowControl/>
              <w:spacing w:line="400" w:lineRule="exact"/>
              <w:jc w:val="center"/>
              <w:rPr>
                <w:rFonts w:hint="default" w:ascii="仿宋" w:hAnsi="仿宋" w:eastAsia="仿宋" w:cs="仿宋"/>
                <w:color w:val="auto"/>
                <w:kern w:val="0"/>
                <w:sz w:val="28"/>
                <w:szCs w:val="28"/>
                <w:lang w:val="en-US" w:eastAsia="zh-CN"/>
              </w:rPr>
            </w:pPr>
            <w:r>
              <w:rPr>
                <w:rFonts w:hint="eastAsia" w:ascii="仿宋" w:hAnsi="仿宋" w:eastAsia="仿宋" w:cs="仿宋"/>
                <w:color w:val="auto"/>
                <w:kern w:val="0"/>
                <w:sz w:val="28"/>
                <w:szCs w:val="28"/>
                <w:lang w:val="en-US" w:eastAsia="zh-CN"/>
              </w:rPr>
              <w:t>小型企业</w:t>
            </w:r>
          </w:p>
        </w:tc>
      </w:tr>
      <w:tr w14:paraId="3AC7CBF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0" w:type="dxa"/>
            <w:left w:w="0" w:type="dxa"/>
            <w:bottom w:w="0" w:type="dxa"/>
            <w:right w:w="0" w:type="dxa"/>
          </w:tblCellMar>
        </w:tblPrEx>
        <w:trPr>
          <w:trHeight w:val="839" w:hRule="atLeast"/>
          <w:jc w:val="center"/>
        </w:trPr>
        <w:tc>
          <w:tcPr>
            <w:tcW w:w="3363" w:type="dxa"/>
            <w:shd w:val="clear" w:color="auto" w:fill="auto"/>
            <w:tcMar>
              <w:top w:w="14" w:type="dxa"/>
              <w:left w:w="14" w:type="dxa"/>
              <w:bottom w:w="14" w:type="dxa"/>
              <w:right w:w="14" w:type="dxa"/>
            </w:tcMar>
            <w:vAlign w:val="center"/>
          </w:tcPr>
          <w:p w14:paraId="424B1D70">
            <w:pPr>
              <w:widowControl/>
              <w:spacing w:line="400" w:lineRule="exact"/>
              <w:jc w:val="center"/>
              <w:rPr>
                <w:rFonts w:hint="eastAsia" w:ascii="仿宋" w:hAnsi="仿宋" w:eastAsia="仿宋" w:cs="仿宋"/>
                <w:color w:val="auto"/>
                <w:sz w:val="28"/>
                <w:szCs w:val="28"/>
                <w:lang w:val="en-US" w:eastAsia="zh-CN"/>
              </w:rPr>
            </w:pPr>
            <w:r>
              <w:rPr>
                <w:rFonts w:hint="eastAsia" w:ascii="仿宋" w:hAnsi="仿宋" w:eastAsia="仿宋" w:cs="仿宋"/>
                <w:i w:val="0"/>
                <w:iCs w:val="0"/>
                <w:color w:val="000000"/>
                <w:kern w:val="0"/>
                <w:sz w:val="28"/>
                <w:szCs w:val="28"/>
                <w:u w:val="none"/>
                <w:lang w:val="en-US" w:eastAsia="zh-CN" w:bidi="ar"/>
              </w:rPr>
              <w:t>凯乐检测认证集团（甘肃）有限公司</w:t>
            </w:r>
          </w:p>
        </w:tc>
        <w:tc>
          <w:tcPr>
            <w:tcW w:w="1110" w:type="dxa"/>
            <w:shd w:val="clear" w:color="auto" w:fill="auto"/>
            <w:tcMar>
              <w:top w:w="14" w:type="dxa"/>
              <w:left w:w="14" w:type="dxa"/>
              <w:bottom w:w="14" w:type="dxa"/>
              <w:right w:w="14" w:type="dxa"/>
            </w:tcMar>
            <w:vAlign w:val="center"/>
          </w:tcPr>
          <w:p w14:paraId="6842B86A">
            <w:pPr>
              <w:widowControl/>
              <w:spacing w:line="400" w:lineRule="exact"/>
              <w:jc w:val="center"/>
              <w:rPr>
                <w:rFonts w:hint="default" w:ascii="仿宋" w:hAnsi="仿宋" w:eastAsia="仿宋" w:cs="仿宋"/>
                <w:color w:val="auto"/>
                <w:kern w:val="0"/>
                <w:sz w:val="28"/>
                <w:szCs w:val="28"/>
                <w:lang w:val="en-US" w:eastAsia="zh-CN"/>
              </w:rPr>
            </w:pPr>
            <w:r>
              <w:rPr>
                <w:rFonts w:hint="eastAsia" w:ascii="仿宋" w:hAnsi="仿宋" w:eastAsia="仿宋" w:cs="仿宋"/>
                <w:color w:val="auto"/>
                <w:kern w:val="0"/>
                <w:sz w:val="28"/>
                <w:szCs w:val="28"/>
                <w:lang w:val="en-US" w:eastAsia="zh-CN"/>
              </w:rPr>
              <w:t>56</w:t>
            </w:r>
          </w:p>
        </w:tc>
        <w:tc>
          <w:tcPr>
            <w:tcW w:w="1260" w:type="dxa"/>
            <w:shd w:val="clear" w:color="auto" w:fill="auto"/>
            <w:tcMar>
              <w:top w:w="14" w:type="dxa"/>
              <w:left w:w="14" w:type="dxa"/>
              <w:bottom w:w="14" w:type="dxa"/>
              <w:right w:w="14" w:type="dxa"/>
            </w:tcMar>
            <w:vAlign w:val="center"/>
          </w:tcPr>
          <w:p w14:paraId="5540BEAC">
            <w:pPr>
              <w:widowControl/>
              <w:spacing w:line="400" w:lineRule="exact"/>
              <w:jc w:val="center"/>
              <w:rPr>
                <w:rFonts w:hint="default" w:ascii="仿宋" w:hAnsi="仿宋" w:eastAsia="仿宋" w:cs="仿宋"/>
                <w:color w:val="auto"/>
                <w:kern w:val="0"/>
                <w:sz w:val="28"/>
                <w:szCs w:val="28"/>
                <w:lang w:val="en-US" w:eastAsia="zh-CN"/>
              </w:rPr>
            </w:pPr>
            <w:r>
              <w:rPr>
                <w:rFonts w:hint="eastAsia" w:ascii="仿宋" w:hAnsi="仿宋" w:eastAsia="仿宋" w:cs="仿宋"/>
                <w:color w:val="auto"/>
                <w:kern w:val="0"/>
                <w:sz w:val="28"/>
                <w:szCs w:val="28"/>
                <w:lang w:val="en-US" w:eastAsia="zh-CN"/>
              </w:rPr>
              <w:t>19.95</w:t>
            </w:r>
          </w:p>
        </w:tc>
        <w:tc>
          <w:tcPr>
            <w:tcW w:w="1035" w:type="dxa"/>
            <w:shd w:val="clear" w:color="auto" w:fill="auto"/>
            <w:tcMar>
              <w:top w:w="14" w:type="dxa"/>
              <w:left w:w="14" w:type="dxa"/>
              <w:bottom w:w="14" w:type="dxa"/>
              <w:right w:w="14" w:type="dxa"/>
            </w:tcMar>
            <w:vAlign w:val="center"/>
          </w:tcPr>
          <w:p w14:paraId="43B30FBD">
            <w:pPr>
              <w:widowControl/>
              <w:spacing w:line="400" w:lineRule="exact"/>
              <w:jc w:val="center"/>
              <w:rPr>
                <w:rFonts w:hint="default" w:ascii="仿宋" w:hAnsi="仿宋" w:eastAsia="仿宋" w:cs="仿宋"/>
                <w:color w:val="auto"/>
                <w:kern w:val="0"/>
                <w:sz w:val="28"/>
                <w:szCs w:val="28"/>
                <w:lang w:val="en-US" w:eastAsia="zh-CN"/>
              </w:rPr>
            </w:pPr>
            <w:r>
              <w:rPr>
                <w:rFonts w:hint="eastAsia" w:ascii="仿宋" w:hAnsi="仿宋" w:eastAsia="仿宋" w:cs="仿宋"/>
                <w:color w:val="auto"/>
                <w:kern w:val="0"/>
                <w:sz w:val="28"/>
                <w:szCs w:val="28"/>
                <w:lang w:val="en-US" w:eastAsia="zh-CN"/>
              </w:rPr>
              <w:t>75.95</w:t>
            </w:r>
          </w:p>
        </w:tc>
        <w:tc>
          <w:tcPr>
            <w:tcW w:w="810" w:type="dxa"/>
            <w:shd w:val="clear" w:color="auto" w:fill="auto"/>
            <w:tcMar>
              <w:top w:w="14" w:type="dxa"/>
              <w:left w:w="14" w:type="dxa"/>
              <w:bottom w:w="14" w:type="dxa"/>
              <w:right w:w="14" w:type="dxa"/>
            </w:tcMar>
            <w:vAlign w:val="center"/>
          </w:tcPr>
          <w:p w14:paraId="567749B3">
            <w:pPr>
              <w:widowControl/>
              <w:spacing w:line="400" w:lineRule="exact"/>
              <w:jc w:val="center"/>
              <w:rPr>
                <w:rFonts w:hint="eastAsia" w:ascii="仿宋" w:hAnsi="仿宋" w:eastAsia="仿宋" w:cs="仿宋"/>
                <w:color w:val="auto"/>
                <w:kern w:val="0"/>
                <w:sz w:val="28"/>
                <w:szCs w:val="28"/>
                <w:lang w:val="en-US" w:eastAsia="zh-CN"/>
              </w:rPr>
            </w:pPr>
            <w:r>
              <w:rPr>
                <w:rFonts w:hint="eastAsia" w:ascii="仿宋" w:hAnsi="仿宋" w:eastAsia="仿宋" w:cs="仿宋"/>
                <w:color w:val="auto"/>
                <w:kern w:val="0"/>
                <w:sz w:val="28"/>
                <w:szCs w:val="28"/>
                <w:lang w:val="en-US" w:eastAsia="zh-CN"/>
              </w:rPr>
              <w:t>2</w:t>
            </w:r>
          </w:p>
        </w:tc>
        <w:tc>
          <w:tcPr>
            <w:tcW w:w="1180" w:type="dxa"/>
            <w:shd w:val="clear" w:color="auto" w:fill="auto"/>
            <w:tcMar>
              <w:top w:w="14" w:type="dxa"/>
              <w:left w:w="14" w:type="dxa"/>
              <w:bottom w:w="14" w:type="dxa"/>
              <w:right w:w="14" w:type="dxa"/>
            </w:tcMar>
            <w:vAlign w:val="center"/>
          </w:tcPr>
          <w:p w14:paraId="657F3B38">
            <w:pPr>
              <w:widowControl/>
              <w:spacing w:line="400" w:lineRule="exact"/>
              <w:jc w:val="center"/>
              <w:rPr>
                <w:rFonts w:hint="default" w:ascii="仿宋" w:hAnsi="仿宋" w:eastAsia="仿宋" w:cs="仿宋"/>
                <w:color w:val="auto"/>
                <w:kern w:val="0"/>
                <w:sz w:val="28"/>
                <w:szCs w:val="28"/>
                <w:lang w:val="en-US" w:eastAsia="zh-CN"/>
              </w:rPr>
            </w:pPr>
            <w:r>
              <w:rPr>
                <w:rFonts w:hint="eastAsia" w:ascii="仿宋" w:hAnsi="仿宋" w:eastAsia="仿宋" w:cs="仿宋"/>
                <w:color w:val="auto"/>
                <w:kern w:val="0"/>
                <w:sz w:val="28"/>
                <w:szCs w:val="28"/>
                <w:lang w:val="en-US" w:eastAsia="zh-CN"/>
              </w:rPr>
              <w:t>小型企业</w:t>
            </w:r>
          </w:p>
        </w:tc>
      </w:tr>
      <w:tr w14:paraId="342E6EB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0" w:type="dxa"/>
            <w:left w:w="0" w:type="dxa"/>
            <w:bottom w:w="0" w:type="dxa"/>
            <w:right w:w="0" w:type="dxa"/>
          </w:tblCellMar>
        </w:tblPrEx>
        <w:trPr>
          <w:trHeight w:val="675" w:hRule="atLeast"/>
          <w:jc w:val="center"/>
        </w:trPr>
        <w:tc>
          <w:tcPr>
            <w:tcW w:w="3363" w:type="dxa"/>
            <w:shd w:val="clear" w:color="auto" w:fill="auto"/>
            <w:tcMar>
              <w:top w:w="14" w:type="dxa"/>
              <w:left w:w="14" w:type="dxa"/>
              <w:bottom w:w="14" w:type="dxa"/>
              <w:right w:w="14" w:type="dxa"/>
            </w:tcMar>
            <w:vAlign w:val="center"/>
          </w:tcPr>
          <w:p w14:paraId="5C6087A3">
            <w:pPr>
              <w:widowControl/>
              <w:spacing w:line="400" w:lineRule="exact"/>
              <w:jc w:val="center"/>
              <w:rPr>
                <w:rFonts w:hint="default" w:ascii="仿宋" w:hAnsi="仿宋" w:eastAsia="仿宋" w:cs="仿宋"/>
                <w:color w:val="auto"/>
                <w:sz w:val="28"/>
                <w:szCs w:val="28"/>
                <w:lang w:val="en-US" w:eastAsia="zh-CN"/>
              </w:rPr>
            </w:pPr>
            <w:r>
              <w:rPr>
                <w:rFonts w:hint="eastAsia" w:ascii="仿宋" w:hAnsi="仿宋" w:eastAsia="仿宋" w:cs="仿宋"/>
                <w:i w:val="0"/>
                <w:iCs w:val="0"/>
                <w:color w:val="000000"/>
                <w:kern w:val="0"/>
                <w:sz w:val="32"/>
                <w:szCs w:val="32"/>
                <w:highlight w:val="none"/>
                <w:u w:val="none"/>
                <w:lang w:val="en-US" w:eastAsia="zh-CN" w:bidi="ar"/>
              </w:rPr>
              <w:t>兰州天昱检测科技有限公司</w:t>
            </w:r>
          </w:p>
        </w:tc>
        <w:tc>
          <w:tcPr>
            <w:tcW w:w="1110" w:type="dxa"/>
            <w:shd w:val="clear" w:color="auto" w:fill="auto"/>
            <w:tcMar>
              <w:top w:w="14" w:type="dxa"/>
              <w:left w:w="14" w:type="dxa"/>
              <w:bottom w:w="14" w:type="dxa"/>
              <w:right w:w="14" w:type="dxa"/>
            </w:tcMar>
            <w:vAlign w:val="center"/>
          </w:tcPr>
          <w:p w14:paraId="482C2999">
            <w:pPr>
              <w:widowControl/>
              <w:spacing w:line="400" w:lineRule="exact"/>
              <w:jc w:val="center"/>
              <w:rPr>
                <w:rFonts w:hint="default" w:ascii="仿宋" w:hAnsi="仿宋" w:eastAsia="仿宋" w:cs="仿宋"/>
                <w:color w:val="auto"/>
                <w:kern w:val="0"/>
                <w:sz w:val="28"/>
                <w:szCs w:val="28"/>
                <w:lang w:val="en-US" w:eastAsia="zh-CN"/>
              </w:rPr>
            </w:pPr>
            <w:r>
              <w:rPr>
                <w:rFonts w:hint="eastAsia" w:ascii="仿宋" w:hAnsi="仿宋" w:eastAsia="仿宋" w:cs="仿宋"/>
                <w:color w:val="auto"/>
                <w:kern w:val="0"/>
                <w:sz w:val="28"/>
                <w:szCs w:val="28"/>
                <w:lang w:val="en-US" w:eastAsia="zh-CN"/>
              </w:rPr>
              <w:t>56</w:t>
            </w:r>
          </w:p>
        </w:tc>
        <w:tc>
          <w:tcPr>
            <w:tcW w:w="1260" w:type="dxa"/>
            <w:shd w:val="clear" w:color="auto" w:fill="auto"/>
            <w:tcMar>
              <w:top w:w="14" w:type="dxa"/>
              <w:left w:w="14" w:type="dxa"/>
              <w:bottom w:w="14" w:type="dxa"/>
              <w:right w:w="14" w:type="dxa"/>
            </w:tcMar>
            <w:vAlign w:val="center"/>
          </w:tcPr>
          <w:p w14:paraId="0C3B3F4D">
            <w:pPr>
              <w:widowControl/>
              <w:spacing w:line="400" w:lineRule="exact"/>
              <w:jc w:val="center"/>
              <w:rPr>
                <w:rFonts w:hint="default" w:ascii="仿宋" w:hAnsi="仿宋" w:eastAsia="仿宋" w:cs="仿宋"/>
                <w:color w:val="auto"/>
                <w:kern w:val="0"/>
                <w:sz w:val="28"/>
                <w:szCs w:val="28"/>
                <w:lang w:val="en-US" w:eastAsia="zh-CN"/>
              </w:rPr>
            </w:pPr>
            <w:r>
              <w:rPr>
                <w:rFonts w:hint="eastAsia" w:ascii="仿宋" w:hAnsi="仿宋" w:eastAsia="仿宋" w:cs="仿宋"/>
                <w:color w:val="auto"/>
                <w:kern w:val="0"/>
                <w:sz w:val="28"/>
                <w:szCs w:val="28"/>
                <w:lang w:val="en-US" w:eastAsia="zh-CN"/>
              </w:rPr>
              <w:t>19.86</w:t>
            </w:r>
          </w:p>
        </w:tc>
        <w:tc>
          <w:tcPr>
            <w:tcW w:w="1035" w:type="dxa"/>
            <w:shd w:val="clear" w:color="auto" w:fill="auto"/>
            <w:tcMar>
              <w:top w:w="14" w:type="dxa"/>
              <w:left w:w="14" w:type="dxa"/>
              <w:bottom w:w="14" w:type="dxa"/>
              <w:right w:w="14" w:type="dxa"/>
            </w:tcMar>
            <w:vAlign w:val="center"/>
          </w:tcPr>
          <w:p w14:paraId="4737EA95">
            <w:pPr>
              <w:widowControl/>
              <w:spacing w:line="400" w:lineRule="exact"/>
              <w:jc w:val="center"/>
              <w:rPr>
                <w:rFonts w:hint="default" w:ascii="仿宋" w:hAnsi="仿宋" w:eastAsia="仿宋" w:cs="仿宋"/>
                <w:color w:val="auto"/>
                <w:kern w:val="0"/>
                <w:sz w:val="28"/>
                <w:szCs w:val="28"/>
                <w:lang w:val="en-US" w:eastAsia="zh-CN"/>
              </w:rPr>
            </w:pPr>
            <w:r>
              <w:rPr>
                <w:rFonts w:hint="eastAsia" w:ascii="仿宋" w:hAnsi="仿宋" w:eastAsia="仿宋" w:cs="仿宋"/>
                <w:color w:val="auto"/>
                <w:kern w:val="0"/>
                <w:sz w:val="28"/>
                <w:szCs w:val="28"/>
                <w:lang w:val="en-US" w:eastAsia="zh-CN"/>
              </w:rPr>
              <w:t>75.86</w:t>
            </w:r>
          </w:p>
        </w:tc>
        <w:tc>
          <w:tcPr>
            <w:tcW w:w="810" w:type="dxa"/>
            <w:shd w:val="clear" w:color="auto" w:fill="auto"/>
            <w:tcMar>
              <w:top w:w="14" w:type="dxa"/>
              <w:left w:w="14" w:type="dxa"/>
              <w:bottom w:w="14" w:type="dxa"/>
              <w:right w:w="14" w:type="dxa"/>
            </w:tcMar>
            <w:vAlign w:val="center"/>
          </w:tcPr>
          <w:p w14:paraId="6E8EC9EC">
            <w:pPr>
              <w:widowControl/>
              <w:spacing w:line="400" w:lineRule="exact"/>
              <w:jc w:val="center"/>
              <w:rPr>
                <w:rFonts w:hint="eastAsia" w:ascii="仿宋" w:hAnsi="仿宋" w:eastAsia="仿宋" w:cs="仿宋"/>
                <w:color w:val="auto"/>
                <w:kern w:val="0"/>
                <w:sz w:val="28"/>
                <w:szCs w:val="28"/>
                <w:lang w:val="en-US" w:eastAsia="zh-CN"/>
              </w:rPr>
            </w:pPr>
            <w:r>
              <w:rPr>
                <w:rFonts w:hint="eastAsia" w:ascii="仿宋" w:hAnsi="仿宋" w:eastAsia="仿宋" w:cs="仿宋"/>
                <w:color w:val="auto"/>
                <w:kern w:val="0"/>
                <w:sz w:val="28"/>
                <w:szCs w:val="28"/>
                <w:lang w:val="en-US" w:eastAsia="zh-CN"/>
              </w:rPr>
              <w:t>3</w:t>
            </w:r>
          </w:p>
        </w:tc>
        <w:tc>
          <w:tcPr>
            <w:tcW w:w="1180" w:type="dxa"/>
            <w:shd w:val="clear" w:color="auto" w:fill="auto"/>
            <w:tcMar>
              <w:top w:w="14" w:type="dxa"/>
              <w:left w:w="14" w:type="dxa"/>
              <w:bottom w:w="14" w:type="dxa"/>
              <w:right w:w="14" w:type="dxa"/>
            </w:tcMar>
            <w:vAlign w:val="center"/>
          </w:tcPr>
          <w:p w14:paraId="23604BE8">
            <w:pPr>
              <w:widowControl/>
              <w:spacing w:line="400" w:lineRule="exact"/>
              <w:jc w:val="center"/>
              <w:rPr>
                <w:rFonts w:hint="eastAsia" w:ascii="仿宋" w:hAnsi="仿宋" w:eastAsia="仿宋" w:cs="仿宋"/>
                <w:color w:val="auto"/>
                <w:kern w:val="0"/>
                <w:sz w:val="28"/>
                <w:szCs w:val="28"/>
                <w:lang w:val="en-US" w:eastAsia="zh-CN"/>
              </w:rPr>
            </w:pPr>
            <w:r>
              <w:rPr>
                <w:rFonts w:hint="eastAsia" w:ascii="仿宋" w:hAnsi="仿宋" w:eastAsia="仿宋" w:cs="仿宋"/>
                <w:color w:val="auto"/>
                <w:kern w:val="0"/>
                <w:sz w:val="28"/>
                <w:szCs w:val="28"/>
                <w:lang w:val="en-US" w:eastAsia="zh-CN"/>
              </w:rPr>
              <w:t>小型企业</w:t>
            </w:r>
          </w:p>
        </w:tc>
      </w:tr>
    </w:tbl>
    <w:p w14:paraId="4067AC73">
      <w:pPr>
        <w:ind w:firstLine="560" w:firstLineChars="200"/>
        <w:rPr>
          <w:rFonts w:hint="default" w:ascii="仿宋" w:hAnsi="仿宋" w:eastAsia="仿宋" w:cs="宋体"/>
          <w:kern w:val="0"/>
          <w:sz w:val="28"/>
          <w:szCs w:val="28"/>
          <w:lang w:val="en-US" w:eastAsia="zh-CN"/>
        </w:rPr>
      </w:pPr>
      <w:r>
        <w:rPr>
          <w:rFonts w:hint="eastAsia" w:ascii="仿宋" w:hAnsi="仿宋" w:eastAsia="仿宋" w:cs="宋体"/>
          <w:kern w:val="0"/>
          <w:sz w:val="28"/>
          <w:szCs w:val="28"/>
        </w:rPr>
        <w:t>未通过资格审查或符合性审查的</w:t>
      </w:r>
      <w:r>
        <w:rPr>
          <w:rFonts w:hint="eastAsia" w:ascii="仿宋" w:hAnsi="仿宋" w:eastAsia="仿宋" w:cs="宋体"/>
          <w:kern w:val="0"/>
          <w:sz w:val="28"/>
          <w:szCs w:val="28"/>
          <w:lang w:val="en-US" w:eastAsia="zh-CN"/>
        </w:rPr>
        <w:t>供应商</w:t>
      </w:r>
      <w:r>
        <w:rPr>
          <w:rFonts w:hint="eastAsia" w:ascii="仿宋" w:hAnsi="仿宋" w:eastAsia="仿宋" w:cs="宋体"/>
          <w:kern w:val="0"/>
          <w:sz w:val="28"/>
          <w:szCs w:val="28"/>
        </w:rPr>
        <w:t>：</w:t>
      </w:r>
      <w:r>
        <w:rPr>
          <w:rFonts w:hint="eastAsia" w:ascii="仿宋" w:hAnsi="仿宋" w:eastAsia="仿宋" w:cs="宋体"/>
          <w:kern w:val="0"/>
          <w:sz w:val="28"/>
          <w:szCs w:val="28"/>
          <w:lang w:val="en-US" w:eastAsia="zh-CN"/>
        </w:rPr>
        <w:t>中铁西北工程检测有限公司符合性审查未通过。</w:t>
      </w:r>
    </w:p>
    <w:p w14:paraId="52430586">
      <w:pPr>
        <w:ind w:firstLine="560" w:firstLineChars="200"/>
        <w:rPr>
          <w:rFonts w:ascii="仿宋" w:hAnsi="仿宋" w:eastAsia="仿宋" w:cs="宋体"/>
          <w:kern w:val="0"/>
          <w:sz w:val="28"/>
          <w:szCs w:val="28"/>
        </w:rPr>
      </w:pPr>
      <w:r>
        <w:rPr>
          <w:rFonts w:hint="eastAsia" w:ascii="仿宋" w:hAnsi="仿宋" w:eastAsia="仿宋" w:cs="宋体"/>
          <w:kern w:val="0"/>
          <w:sz w:val="28"/>
          <w:szCs w:val="28"/>
        </w:rPr>
        <w:t>5.如对采购结果有异议，可在本公告期限届满之日起七个工作日内向采购人或采购代理机构提出质疑，逾期将依法不予受理。</w:t>
      </w:r>
    </w:p>
    <w:p w14:paraId="21F49516">
      <w:pPr>
        <w:rPr>
          <w:rFonts w:ascii="黑体" w:hAnsi="黑体" w:eastAsia="黑体" w:cs="宋体"/>
          <w:kern w:val="0"/>
          <w:sz w:val="28"/>
          <w:szCs w:val="28"/>
        </w:rPr>
      </w:pPr>
      <w:r>
        <w:rPr>
          <w:rFonts w:hint="eastAsia" w:ascii="黑体" w:hAnsi="黑体" w:eastAsia="黑体" w:cs="宋体"/>
          <w:kern w:val="0"/>
          <w:sz w:val="28"/>
          <w:szCs w:val="28"/>
        </w:rPr>
        <w:t>九、凡对本次公告内容提出询问、质疑、投诉，请按以下方式联系。</w:t>
      </w:r>
    </w:p>
    <w:p w14:paraId="2BEDB7F9">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1.采购人信息</w:t>
      </w:r>
    </w:p>
    <w:p w14:paraId="38F04913">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名    称：</w:t>
      </w:r>
      <w:r>
        <w:rPr>
          <w:rFonts w:hint="eastAsia" w:ascii="仿宋_GB2312" w:hAnsi="仿宋_GB2312" w:eastAsia="仿宋_GB2312" w:cs="仿宋_GB2312"/>
          <w:sz w:val="30"/>
          <w:szCs w:val="30"/>
          <w:highlight w:val="none"/>
          <w:lang w:eastAsia="zh-CN"/>
        </w:rPr>
        <w:t>白银高新技术产业开发区管理委员会</w:t>
      </w:r>
    </w:p>
    <w:p w14:paraId="4445C4EE">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地    址：白银市白银区</w:t>
      </w:r>
      <w:r>
        <w:rPr>
          <w:rFonts w:hint="eastAsia" w:ascii="仿宋" w:hAnsi="仿宋" w:eastAsia="仿宋" w:cs="宋体"/>
          <w:kern w:val="0"/>
          <w:sz w:val="28"/>
          <w:szCs w:val="28"/>
          <w:lang w:eastAsia="zh-CN"/>
        </w:rPr>
        <w:t>南环路</w:t>
      </w:r>
      <w:r>
        <w:rPr>
          <w:rFonts w:hint="eastAsia" w:ascii="仿宋" w:hAnsi="仿宋" w:eastAsia="仿宋" w:cs="宋体"/>
          <w:kern w:val="0"/>
          <w:sz w:val="28"/>
          <w:szCs w:val="28"/>
        </w:rPr>
        <w:t>4号 　　</w:t>
      </w:r>
    </w:p>
    <w:p w14:paraId="571B65BB">
      <w:pPr>
        <w:ind w:firstLine="560" w:firstLineChars="200"/>
        <w:rPr>
          <w:rFonts w:hint="eastAsia" w:ascii="仿宋" w:hAnsi="仿宋" w:eastAsia="仿宋" w:cs="宋体"/>
          <w:kern w:val="0"/>
          <w:sz w:val="28"/>
          <w:szCs w:val="28"/>
          <w:lang w:eastAsia="zh-CN"/>
        </w:rPr>
      </w:pPr>
      <w:r>
        <w:rPr>
          <w:rFonts w:hint="eastAsia" w:ascii="仿宋" w:hAnsi="仿宋" w:eastAsia="仿宋" w:cs="宋体"/>
          <w:kern w:val="0"/>
          <w:sz w:val="28"/>
          <w:szCs w:val="28"/>
        </w:rPr>
        <w:t>联 系 人：</w:t>
      </w:r>
      <w:r>
        <w:rPr>
          <w:rFonts w:hint="eastAsia" w:ascii="仿宋" w:hAnsi="仿宋" w:eastAsia="仿宋" w:cs="宋体"/>
          <w:kern w:val="0"/>
          <w:sz w:val="28"/>
          <w:szCs w:val="28"/>
          <w:lang w:val="en-US" w:eastAsia="zh-CN"/>
        </w:rPr>
        <w:t>刘于靖</w:t>
      </w:r>
    </w:p>
    <w:p w14:paraId="7AE03009">
      <w:pPr>
        <w:pStyle w:val="2"/>
        <w:keepNext w:val="0"/>
        <w:keepLines w:val="0"/>
        <w:pageBreakBefore w:val="0"/>
        <w:widowControl w:val="0"/>
        <w:kinsoku/>
        <w:wordWrap/>
        <w:overflowPunct/>
        <w:topLinePunct w:val="0"/>
        <w:autoSpaceDE/>
        <w:autoSpaceDN/>
        <w:bidi w:val="0"/>
        <w:adjustRightInd/>
        <w:snapToGrid/>
        <w:spacing w:after="0" w:line="560" w:lineRule="exact"/>
        <w:ind w:right="0" w:firstLine="560" w:firstLineChars="200"/>
        <w:textAlignment w:val="auto"/>
        <w:rPr>
          <w:rFonts w:hint="eastAsia" w:ascii="仿宋_GB2312" w:hAnsi="仿宋_GB2312" w:eastAsia="仿宋_GB2312" w:cs="仿宋_GB2312"/>
          <w:sz w:val="30"/>
          <w:szCs w:val="30"/>
          <w:highlight w:val="none"/>
        </w:rPr>
      </w:pPr>
      <w:r>
        <w:rPr>
          <w:rFonts w:hint="eastAsia" w:ascii="仿宋" w:hAnsi="仿宋" w:eastAsia="仿宋" w:cs="宋体"/>
          <w:kern w:val="0"/>
          <w:sz w:val="28"/>
          <w:szCs w:val="28"/>
        </w:rPr>
        <w:t>联系方式：</w:t>
      </w:r>
      <w:bookmarkStart w:id="2" w:name="OLE_LINK20"/>
      <w:r>
        <w:rPr>
          <w:rFonts w:hint="eastAsia" w:ascii="仿宋_GB2312" w:hAnsi="仿宋_GB2312" w:eastAsia="仿宋_GB2312" w:cs="仿宋_GB2312"/>
          <w:sz w:val="30"/>
          <w:szCs w:val="30"/>
          <w:highlight w:val="none"/>
        </w:rPr>
        <w:t>18893080292</w:t>
      </w:r>
    </w:p>
    <w:p w14:paraId="5FA02639">
      <w:pPr>
        <w:pStyle w:val="2"/>
        <w:keepNext w:val="0"/>
        <w:keepLines w:val="0"/>
        <w:pageBreakBefore w:val="0"/>
        <w:widowControl w:val="0"/>
        <w:kinsoku/>
        <w:wordWrap/>
        <w:overflowPunct/>
        <w:topLinePunct w:val="0"/>
        <w:autoSpaceDE/>
        <w:autoSpaceDN/>
        <w:bidi w:val="0"/>
        <w:adjustRightInd/>
        <w:snapToGrid/>
        <w:spacing w:after="0" w:line="560" w:lineRule="exact"/>
        <w:ind w:right="0" w:firstLine="600" w:firstLineChars="200"/>
        <w:textAlignment w:val="auto"/>
        <w:rPr>
          <w:rFonts w:hint="eastAsia" w:ascii="仿宋_GB2312" w:hAnsi="仿宋_GB2312" w:eastAsia="仿宋_GB2312" w:cs="仿宋_GB2312"/>
          <w:sz w:val="30"/>
          <w:szCs w:val="30"/>
          <w:highlight w:val="none"/>
          <w:lang w:val="en-US" w:eastAsia="zh-CN"/>
        </w:rPr>
      </w:pPr>
    </w:p>
    <w:bookmarkEnd w:id="2"/>
    <w:p w14:paraId="3AFCC4C1">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2.采购代理机构信息</w:t>
      </w:r>
    </w:p>
    <w:p w14:paraId="7B69578D">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 xml:space="preserve">名    称：甘肃裕锦航建设项目管理有限公司 </w:t>
      </w:r>
    </w:p>
    <w:p w14:paraId="06652738">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地　　址：甘肃省白银市白银区滨河西路120号　　　</w:t>
      </w:r>
    </w:p>
    <w:p w14:paraId="58FB30DE">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联 系 人：</w:t>
      </w:r>
      <w:r>
        <w:rPr>
          <w:rFonts w:hint="eastAsia" w:ascii="仿宋" w:hAnsi="仿宋" w:eastAsia="仿宋" w:cs="宋体"/>
          <w:kern w:val="0"/>
          <w:sz w:val="28"/>
          <w:szCs w:val="28"/>
          <w:lang w:val="en-US" w:eastAsia="zh-CN"/>
        </w:rPr>
        <w:t>何晓莲</w:t>
      </w:r>
      <w:r>
        <w:rPr>
          <w:rFonts w:hint="eastAsia" w:ascii="仿宋" w:hAnsi="仿宋" w:eastAsia="仿宋" w:cs="宋体"/>
          <w:kern w:val="0"/>
          <w:sz w:val="28"/>
          <w:szCs w:val="28"/>
        </w:rPr>
        <w:t xml:space="preserve">          </w:t>
      </w:r>
    </w:p>
    <w:p w14:paraId="42F291D9">
      <w:pPr>
        <w:ind w:firstLine="560" w:firstLineChars="200"/>
        <w:rPr>
          <w:rFonts w:hint="eastAsia" w:ascii="仿宋" w:hAnsi="仿宋" w:eastAsia="仿宋" w:cs="宋体"/>
          <w:kern w:val="0"/>
          <w:sz w:val="28"/>
          <w:szCs w:val="28"/>
          <w:lang w:val="en-US" w:eastAsia="zh-CN"/>
        </w:rPr>
      </w:pPr>
      <w:r>
        <w:rPr>
          <w:rFonts w:hint="eastAsia" w:ascii="仿宋" w:hAnsi="仿宋" w:eastAsia="仿宋" w:cs="宋体"/>
          <w:kern w:val="0"/>
          <w:sz w:val="28"/>
          <w:szCs w:val="28"/>
        </w:rPr>
        <w:t>联系方式：189</w:t>
      </w:r>
      <w:r>
        <w:rPr>
          <w:rFonts w:hint="eastAsia" w:ascii="仿宋" w:hAnsi="仿宋" w:eastAsia="仿宋" w:cs="宋体"/>
          <w:kern w:val="0"/>
          <w:sz w:val="28"/>
          <w:szCs w:val="28"/>
          <w:lang w:val="en-US" w:eastAsia="zh-CN"/>
        </w:rPr>
        <w:t>19436600</w:t>
      </w:r>
    </w:p>
    <w:p w14:paraId="7F602229">
      <w:pPr>
        <w:pStyle w:val="3"/>
        <w:rPr>
          <w:rFonts w:hint="eastAsia" w:eastAsia="仿宋"/>
          <w:lang w:eastAsia="zh-CN"/>
        </w:rPr>
      </w:pPr>
    </w:p>
    <w:p w14:paraId="42AC5A39">
      <w:pPr>
        <w:pStyle w:val="4"/>
        <w:rPr>
          <w:rFonts w:hint="eastAsia" w:eastAsia="仿宋"/>
          <w:lang w:eastAsia="zh-CN"/>
        </w:rPr>
      </w:pPr>
    </w:p>
    <w:p w14:paraId="539E5E35">
      <w:pPr>
        <w:rPr>
          <w:rFonts w:hint="eastAsia" w:eastAsia="仿宋"/>
          <w:lang w:eastAsia="zh-CN"/>
        </w:rPr>
      </w:pPr>
    </w:p>
    <w:p w14:paraId="062C902A">
      <w:pPr>
        <w:pStyle w:val="3"/>
        <w:rPr>
          <w:rFonts w:hint="eastAsia" w:eastAsia="仿宋"/>
          <w:lang w:eastAsia="zh-CN"/>
        </w:rPr>
      </w:pPr>
    </w:p>
    <w:p w14:paraId="67B2A210">
      <w:pPr>
        <w:pStyle w:val="4"/>
        <w:rPr>
          <w:rFonts w:hint="eastAsia" w:eastAsia="仿宋"/>
          <w:lang w:eastAsia="zh-CN"/>
        </w:rPr>
      </w:pPr>
    </w:p>
    <w:p w14:paraId="05E627BE">
      <w:pPr>
        <w:rPr>
          <w:rFonts w:hint="eastAsia" w:eastAsia="仿宋"/>
          <w:lang w:eastAsia="zh-CN"/>
        </w:rPr>
      </w:pPr>
    </w:p>
    <w:p w14:paraId="0486D020">
      <w:pPr>
        <w:pStyle w:val="3"/>
        <w:rPr>
          <w:rFonts w:hint="eastAsia" w:eastAsia="仿宋"/>
          <w:lang w:eastAsia="zh-CN"/>
        </w:rPr>
      </w:pPr>
    </w:p>
    <w:p w14:paraId="53974857">
      <w:pPr>
        <w:pStyle w:val="4"/>
        <w:rPr>
          <w:rFonts w:hint="eastAsia" w:eastAsia="仿宋"/>
          <w:lang w:eastAsia="zh-CN"/>
        </w:rPr>
      </w:pPr>
    </w:p>
    <w:p w14:paraId="5C1F1F06">
      <w:pPr>
        <w:rPr>
          <w:rFonts w:hint="eastAsia" w:eastAsia="仿宋"/>
          <w:lang w:eastAsia="zh-CN"/>
        </w:rPr>
      </w:pPr>
    </w:p>
    <w:p w14:paraId="72287070">
      <w:pPr>
        <w:pStyle w:val="4"/>
        <w:rPr>
          <w:rFonts w:hint="eastAsia" w:eastAsia="仿宋"/>
          <w:lang w:eastAsia="zh-CN"/>
        </w:rPr>
      </w:pPr>
      <w:bookmarkStart w:id="3" w:name="_GoBack"/>
      <w:bookmarkEnd w:id="3"/>
    </w:p>
    <w:p w14:paraId="50B17779">
      <w:pPr>
        <w:rPr>
          <w:rFonts w:hint="eastAsia" w:eastAsia="仿宋"/>
          <w:lang w:eastAsia="zh-CN"/>
        </w:rPr>
      </w:pPr>
    </w:p>
    <w:p w14:paraId="353437AF">
      <w:pPr>
        <w:pStyle w:val="3"/>
        <w:rPr>
          <w:rFonts w:hint="eastAsia" w:eastAsia="仿宋"/>
          <w:lang w:eastAsia="zh-CN"/>
        </w:rPr>
      </w:pPr>
    </w:p>
    <w:p w14:paraId="57BE7874">
      <w:pPr>
        <w:pStyle w:val="4"/>
        <w:rPr>
          <w:rFonts w:hint="eastAsia" w:eastAsia="仿宋"/>
          <w:lang w:eastAsia="zh-CN"/>
        </w:rPr>
      </w:pPr>
    </w:p>
    <w:p w14:paraId="67C926A8">
      <w:pPr>
        <w:rPr>
          <w:rFonts w:hint="eastAsia" w:eastAsia="仿宋"/>
          <w:lang w:eastAsia="zh-CN"/>
        </w:rPr>
      </w:pPr>
    </w:p>
    <w:p w14:paraId="7AFF8664">
      <w:pPr>
        <w:pStyle w:val="3"/>
        <w:rPr>
          <w:rFonts w:hint="eastAsia" w:eastAsia="仿宋"/>
          <w:lang w:eastAsia="zh-CN"/>
        </w:rPr>
      </w:pPr>
    </w:p>
    <w:p w14:paraId="0180DCCE">
      <w:pPr>
        <w:pStyle w:val="4"/>
        <w:rPr>
          <w:rFonts w:hint="eastAsia" w:eastAsia="仿宋"/>
          <w:lang w:eastAsia="zh-CN"/>
        </w:rPr>
      </w:pPr>
    </w:p>
    <w:p w14:paraId="079526EF">
      <w:pPr>
        <w:rPr>
          <w:rFonts w:hint="eastAsia" w:eastAsia="仿宋"/>
          <w:lang w:eastAsia="zh-CN"/>
        </w:rPr>
      </w:pPr>
    </w:p>
    <w:p w14:paraId="1C6C4104"/>
    <w:sectPr>
      <w:pgSz w:w="11906" w:h="16838"/>
      <w:pgMar w:top="1440" w:right="148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C3BDB6"/>
    <w:multiLevelType w:val="singleLevel"/>
    <w:tmpl w:val="87C3BDB6"/>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474FB9"/>
    <w:rsid w:val="01572F0D"/>
    <w:rsid w:val="047B14FB"/>
    <w:rsid w:val="05CD222A"/>
    <w:rsid w:val="07DD49A7"/>
    <w:rsid w:val="0842480A"/>
    <w:rsid w:val="09C15C02"/>
    <w:rsid w:val="09D21BBD"/>
    <w:rsid w:val="0B786794"/>
    <w:rsid w:val="0D751A39"/>
    <w:rsid w:val="0DF02010"/>
    <w:rsid w:val="0FC93A62"/>
    <w:rsid w:val="107C2883"/>
    <w:rsid w:val="1102547E"/>
    <w:rsid w:val="11380EA0"/>
    <w:rsid w:val="126006FF"/>
    <w:rsid w:val="1303728B"/>
    <w:rsid w:val="13D12EE6"/>
    <w:rsid w:val="13F866C4"/>
    <w:rsid w:val="14164D9C"/>
    <w:rsid w:val="148231CE"/>
    <w:rsid w:val="15E05662"/>
    <w:rsid w:val="16924BAE"/>
    <w:rsid w:val="18934C0E"/>
    <w:rsid w:val="18F27B86"/>
    <w:rsid w:val="1A3D0DF0"/>
    <w:rsid w:val="1C67088B"/>
    <w:rsid w:val="1E164317"/>
    <w:rsid w:val="1E7B23CC"/>
    <w:rsid w:val="1F2436EE"/>
    <w:rsid w:val="21A97250"/>
    <w:rsid w:val="21E169EA"/>
    <w:rsid w:val="22E26EBD"/>
    <w:rsid w:val="241035B6"/>
    <w:rsid w:val="24AA38A8"/>
    <w:rsid w:val="25EE7927"/>
    <w:rsid w:val="26153106"/>
    <w:rsid w:val="266879AE"/>
    <w:rsid w:val="272E7452"/>
    <w:rsid w:val="27FD1D81"/>
    <w:rsid w:val="2B626DED"/>
    <w:rsid w:val="2D404F0C"/>
    <w:rsid w:val="2E151FA8"/>
    <w:rsid w:val="2EDC05D9"/>
    <w:rsid w:val="2F285C58"/>
    <w:rsid w:val="31E63BA8"/>
    <w:rsid w:val="34BF7658"/>
    <w:rsid w:val="34F01269"/>
    <w:rsid w:val="3537680C"/>
    <w:rsid w:val="36363350"/>
    <w:rsid w:val="3E2D328B"/>
    <w:rsid w:val="42D40179"/>
    <w:rsid w:val="44466E54"/>
    <w:rsid w:val="445F7F16"/>
    <w:rsid w:val="44AD6ED3"/>
    <w:rsid w:val="44F00B6E"/>
    <w:rsid w:val="451505D5"/>
    <w:rsid w:val="455C26A8"/>
    <w:rsid w:val="45BE6EBE"/>
    <w:rsid w:val="46C87FF5"/>
    <w:rsid w:val="47372A84"/>
    <w:rsid w:val="47694C08"/>
    <w:rsid w:val="49F70BF1"/>
    <w:rsid w:val="4D502AF2"/>
    <w:rsid w:val="50A0169A"/>
    <w:rsid w:val="50A15412"/>
    <w:rsid w:val="51B353FD"/>
    <w:rsid w:val="52DC6BD6"/>
    <w:rsid w:val="532820A9"/>
    <w:rsid w:val="532D11DF"/>
    <w:rsid w:val="53C90F08"/>
    <w:rsid w:val="547370C6"/>
    <w:rsid w:val="55D81C32"/>
    <w:rsid w:val="562C1C22"/>
    <w:rsid w:val="56705FB3"/>
    <w:rsid w:val="568D446F"/>
    <w:rsid w:val="57362D58"/>
    <w:rsid w:val="575D6537"/>
    <w:rsid w:val="57620B9D"/>
    <w:rsid w:val="578F06BB"/>
    <w:rsid w:val="57D460CD"/>
    <w:rsid w:val="581873EC"/>
    <w:rsid w:val="596D4A2C"/>
    <w:rsid w:val="5BD14DFE"/>
    <w:rsid w:val="5DA31058"/>
    <w:rsid w:val="5FF217E7"/>
    <w:rsid w:val="607E307A"/>
    <w:rsid w:val="628F156F"/>
    <w:rsid w:val="62BB487B"/>
    <w:rsid w:val="63B53257"/>
    <w:rsid w:val="64927B46"/>
    <w:rsid w:val="650B13F3"/>
    <w:rsid w:val="660E6C4E"/>
    <w:rsid w:val="67283D40"/>
    <w:rsid w:val="677551D7"/>
    <w:rsid w:val="69470DF5"/>
    <w:rsid w:val="6B5C045C"/>
    <w:rsid w:val="6D4F2026"/>
    <w:rsid w:val="6E474FB9"/>
    <w:rsid w:val="6F394D3C"/>
    <w:rsid w:val="70E94540"/>
    <w:rsid w:val="729E292F"/>
    <w:rsid w:val="73F61362"/>
    <w:rsid w:val="743E4BA3"/>
    <w:rsid w:val="748F53FE"/>
    <w:rsid w:val="78C86E1F"/>
    <w:rsid w:val="79256331"/>
    <w:rsid w:val="7B454A69"/>
    <w:rsid w:val="7CC540B3"/>
    <w:rsid w:val="7D230DDA"/>
    <w:rsid w:val="7E0B3D48"/>
    <w:rsid w:val="7E576F8D"/>
    <w:rsid w:val="7F95421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spacing w:after="120" w:line="360" w:lineRule="auto"/>
      <w:ind w:firstLine="420"/>
    </w:pPr>
    <w:rPr>
      <w:sz w:val="24"/>
    </w:rPr>
  </w:style>
  <w:style w:type="paragraph" w:styleId="3">
    <w:name w:val="Body Text"/>
    <w:basedOn w:val="1"/>
    <w:qFormat/>
    <w:uiPriority w:val="1"/>
    <w:rPr>
      <w:sz w:val="32"/>
      <w:szCs w:val="32"/>
    </w:rPr>
  </w:style>
  <w:style w:type="paragraph" w:styleId="4">
    <w:name w:val="toc 3"/>
    <w:basedOn w:val="1"/>
    <w:next w:val="1"/>
    <w:qFormat/>
    <w:uiPriority w:val="0"/>
    <w:pPr>
      <w:ind w:left="840" w:leftChars="400"/>
    </w:p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style01"/>
    <w:basedOn w:val="8"/>
    <w:qFormat/>
    <w:uiPriority w:val="0"/>
    <w:rPr>
      <w:rFonts w:ascii="华文仿宋" w:hAnsi="华文仿宋" w:eastAsia="华文仿宋" w:cs="华文仿宋"/>
      <w:color w:val="00000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Words>700</Words>
  <Characters>778</Characters>
  <TotalTime>0</TotalTime>
  <ScaleCrop>false</ScaleCrop>
  <LinksUpToDate>false</LinksUpToDate>
  <CharactersWithSpaces>817</CharactersWithSpaces>
  <Application>WPS Office_12.1.0.21541_F1E327BC-269C-435d-A152-05C5408002CA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2025-05-20T16:41:00Z</dcterms:created>
  <dc:creator>Administrator</dc:creator>
  <cp:lastModifiedBy>皓轩@娘亲</cp:lastModifiedBy>
  <dcterms:modified xsi:type="dcterms:W3CDTF">2025-08-06T07:25:15Z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eyJoZGlkIjoiNTdjMWU3M2Y2ZThlZWJmN2M5NTAyNjI0NjA5MTliMDgiLCJ1c2VySWQiOiIxMTM0MzMzNzE0In0=</vt:lpwstr>
  </property>
  <property fmtid="{D5CDD505-2E9C-101B-9397-08002B2CF9AE}" pid="3" name="KSOProductBuildVer">
    <vt:lpwstr>2052-12.1.0.21541</vt:lpwstr>
  </property>
  <property fmtid="{D5CDD505-2E9C-101B-9397-08002B2CF9AE}" pid="4" name="ICV">
    <vt:lpwstr>4F511179F8E34184B50CC13FB702D795_12</vt:lpwstr>
  </property>
</Properties>
</file>