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B981B">
      <w:pPr>
        <w:keepNext w:val="0"/>
        <w:keepLines w:val="0"/>
        <w:pageBreakBefore w:val="0"/>
        <w:kinsoku/>
        <w:wordWrap/>
        <w:overflowPunct/>
        <w:topLinePunct w:val="0"/>
        <w:autoSpaceDE/>
        <w:autoSpaceDN/>
        <w:bidi w:val="0"/>
        <w:adjustRightInd/>
        <w:snapToGrid/>
        <w:spacing w:after="156" w:afterLines="50" w:line="520" w:lineRule="exact"/>
        <w:jc w:val="center"/>
        <w:textAlignment w:val="auto"/>
        <w:rPr>
          <w:rFonts w:hint="eastAsia" w:ascii="宋体" w:hAnsi="宋体" w:eastAsia="宋体" w:cs="宋体"/>
          <w:b/>
          <w:bCs/>
          <w:sz w:val="44"/>
          <w:szCs w:val="44"/>
        </w:rPr>
      </w:pPr>
      <w:bookmarkStart w:id="0" w:name="_Toc28359022"/>
      <w:bookmarkStart w:id="1" w:name="_Toc35393809"/>
      <w:r>
        <w:rPr>
          <w:rFonts w:hint="eastAsia" w:ascii="宋体" w:hAnsi="宋体" w:eastAsia="宋体" w:cs="宋体"/>
          <w:b/>
          <w:bCs/>
          <w:sz w:val="44"/>
          <w:szCs w:val="44"/>
          <w:lang w:val="en-US" w:eastAsia="zh-CN"/>
        </w:rPr>
        <w:t>成交</w:t>
      </w:r>
      <w:r>
        <w:rPr>
          <w:rFonts w:hint="eastAsia" w:ascii="宋体" w:hAnsi="宋体" w:eastAsia="宋体" w:cs="宋体"/>
          <w:b/>
          <w:bCs/>
          <w:sz w:val="44"/>
          <w:szCs w:val="44"/>
        </w:rPr>
        <w:t>结果公告</w:t>
      </w:r>
      <w:bookmarkEnd w:id="0"/>
      <w:bookmarkEnd w:id="1"/>
    </w:p>
    <w:p w14:paraId="141D355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一、项目编号</w:t>
      </w:r>
      <w:r>
        <w:rPr>
          <w:rFonts w:hint="eastAsia" w:ascii="宋体" w:hAnsi="宋体" w:eastAsia="宋体" w:cs="宋体"/>
          <w:sz w:val="28"/>
          <w:szCs w:val="28"/>
        </w:rPr>
        <w:t>：YJHZB2025-0</w:t>
      </w:r>
      <w:r>
        <w:rPr>
          <w:rFonts w:hint="eastAsia" w:ascii="宋体" w:hAnsi="宋体" w:eastAsia="宋体" w:cs="宋体"/>
          <w:sz w:val="28"/>
          <w:szCs w:val="28"/>
          <w:lang w:val="en-US" w:eastAsia="zh-CN"/>
        </w:rPr>
        <w:t>16</w:t>
      </w:r>
    </w:p>
    <w:p w14:paraId="7C26A273">
      <w:pPr>
        <w:keepNext w:val="0"/>
        <w:keepLines w:val="0"/>
        <w:pageBreakBefore w:val="0"/>
        <w:kinsoku/>
        <w:wordWrap/>
        <w:overflowPunct/>
        <w:topLinePunct w:val="0"/>
        <w:autoSpaceDE/>
        <w:autoSpaceDN/>
        <w:bidi w:val="0"/>
        <w:adjustRightInd/>
        <w:snapToGrid/>
        <w:spacing w:line="520" w:lineRule="exact"/>
        <w:ind w:left="1960" w:hanging="1968" w:hangingChars="70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二、项目名称</w:t>
      </w:r>
      <w:r>
        <w:rPr>
          <w:rFonts w:hint="eastAsia" w:ascii="宋体" w:hAnsi="宋体" w:eastAsia="宋体" w:cs="宋体"/>
          <w:sz w:val="28"/>
          <w:szCs w:val="28"/>
        </w:rPr>
        <w:t>：</w:t>
      </w:r>
      <w:r>
        <w:rPr>
          <w:rFonts w:hint="eastAsia" w:ascii="宋体" w:hAnsi="宋体" w:eastAsia="宋体" w:cs="宋体"/>
          <w:b w:val="0"/>
          <w:bCs w:val="0"/>
          <w:sz w:val="28"/>
          <w:szCs w:val="28"/>
        </w:rPr>
        <w:t>《白银高新技术产业开发区突发环境事件应急预案》修编服务项目二次</w:t>
      </w:r>
    </w:p>
    <w:p w14:paraId="676E26C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三、中标信息</w:t>
      </w:r>
    </w:p>
    <w:p w14:paraId="253C6C0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供应商名称：甘肃天辰环境工程有限公司</w:t>
      </w:r>
    </w:p>
    <w:p w14:paraId="75BC69D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供应商地址：</w:t>
      </w:r>
      <w:r>
        <w:rPr>
          <w:rFonts w:hint="eastAsia" w:ascii="宋体" w:hAnsi="宋体" w:eastAsia="宋体" w:cs="宋体"/>
          <w:color w:val="auto"/>
          <w:sz w:val="28"/>
          <w:szCs w:val="28"/>
          <w:lang w:val="en-US" w:eastAsia="zh-CN"/>
        </w:rPr>
        <w:t>甘肃省兰州市城关区南滨河东路</w:t>
      </w:r>
      <w:r>
        <w:rPr>
          <w:rFonts w:hint="eastAsia" w:ascii="宋体" w:hAnsi="宋体" w:cs="宋体"/>
          <w:color w:val="auto"/>
          <w:sz w:val="28"/>
          <w:szCs w:val="28"/>
          <w:lang w:val="en-US" w:eastAsia="zh-CN"/>
        </w:rPr>
        <w:t>5222号</w:t>
      </w:r>
      <w:r>
        <w:rPr>
          <w:rFonts w:hint="eastAsia" w:ascii="宋体" w:hAnsi="宋体" w:eastAsia="宋体" w:cs="宋体"/>
          <w:color w:val="auto"/>
          <w:sz w:val="28"/>
          <w:szCs w:val="28"/>
          <w:lang w:val="en-US" w:eastAsia="zh-CN"/>
        </w:rPr>
        <w:t>名城广场</w:t>
      </w:r>
      <w:r>
        <w:rPr>
          <w:rFonts w:hint="eastAsia" w:ascii="宋体" w:hAnsi="宋体" w:cs="宋体"/>
          <w:color w:val="auto"/>
          <w:sz w:val="28"/>
          <w:szCs w:val="28"/>
          <w:lang w:val="en-US" w:eastAsia="zh-CN"/>
        </w:rPr>
        <w:t>1幢3单元38层029室</w:t>
      </w:r>
    </w:p>
    <w:p w14:paraId="204B8F0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中标金额：人民币</w:t>
      </w:r>
      <w:r>
        <w:rPr>
          <w:rFonts w:hint="eastAsia" w:ascii="宋体" w:hAnsi="宋体" w:eastAsia="宋体" w:cs="宋体"/>
          <w:color w:val="auto"/>
          <w:sz w:val="28"/>
          <w:szCs w:val="28"/>
          <w:lang w:val="en-US" w:eastAsia="zh-CN"/>
        </w:rPr>
        <w:t xml:space="preserve">21.6 </w:t>
      </w:r>
      <w:r>
        <w:rPr>
          <w:rFonts w:hint="eastAsia" w:ascii="宋体" w:hAnsi="宋体" w:eastAsia="宋体" w:cs="宋体"/>
          <w:color w:val="auto"/>
          <w:sz w:val="28"/>
          <w:szCs w:val="28"/>
        </w:rPr>
        <w:t>万元（大写:</w:t>
      </w:r>
      <w:r>
        <w:rPr>
          <w:rFonts w:hint="eastAsia" w:ascii="宋体" w:hAnsi="宋体" w:eastAsia="宋体" w:cs="宋体"/>
          <w:color w:val="auto"/>
          <w:sz w:val="28"/>
          <w:szCs w:val="28"/>
          <w:lang w:val="en-US" w:eastAsia="zh-CN"/>
        </w:rPr>
        <w:t>贰拾壹万陆仟元整</w:t>
      </w:r>
      <w:r>
        <w:rPr>
          <w:rFonts w:hint="eastAsia" w:ascii="宋体" w:hAnsi="宋体" w:eastAsia="宋体" w:cs="宋体"/>
          <w:color w:val="auto"/>
          <w:sz w:val="28"/>
          <w:szCs w:val="28"/>
        </w:rPr>
        <w:t>）</w:t>
      </w:r>
    </w:p>
    <w:p w14:paraId="3A3A1A6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四、主要标的信息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8"/>
      </w:tblGrid>
      <w:tr w14:paraId="1E1C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124D0F88">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服</w:t>
            </w:r>
            <w:r>
              <w:rPr>
                <w:rFonts w:hint="eastAsia" w:ascii="宋体" w:hAnsi="宋体" w:eastAsia="宋体" w:cs="宋体"/>
                <w:kern w:val="0"/>
                <w:sz w:val="28"/>
                <w:szCs w:val="28"/>
              </w:rPr>
              <w:t>务类</w:t>
            </w:r>
          </w:p>
        </w:tc>
      </w:tr>
      <w:tr w14:paraId="576F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54653E5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名称：《白银高新技术产业开发区突发环境事件应急预案》修编服务项目二次</w:t>
            </w:r>
          </w:p>
          <w:p w14:paraId="4CB99DA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服务范围：详见</w:t>
            </w:r>
            <w:r>
              <w:rPr>
                <w:rFonts w:hint="eastAsia" w:ascii="宋体" w:hAnsi="宋体" w:eastAsia="宋体" w:cs="宋体"/>
                <w:kern w:val="0"/>
                <w:sz w:val="28"/>
                <w:szCs w:val="28"/>
                <w:lang w:val="en-US" w:eastAsia="zh-CN"/>
              </w:rPr>
              <w:t>招标公告</w:t>
            </w:r>
          </w:p>
          <w:p w14:paraId="362D678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服务要求：</w:t>
            </w:r>
            <w:r>
              <w:rPr>
                <w:rFonts w:hint="eastAsia" w:ascii="宋体" w:hAnsi="宋体" w:eastAsia="宋体" w:cs="宋体"/>
                <w:kern w:val="0"/>
                <w:sz w:val="28"/>
                <w:szCs w:val="28"/>
                <w:lang w:val="en-US" w:eastAsia="zh-CN"/>
              </w:rPr>
              <w:t>详见招标公告</w:t>
            </w:r>
          </w:p>
          <w:p w14:paraId="3AA0EC3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服务时间：</w:t>
            </w:r>
            <w:r>
              <w:rPr>
                <w:rFonts w:hint="eastAsia" w:ascii="宋体" w:hAnsi="宋体" w:eastAsia="宋体" w:cs="宋体"/>
                <w:kern w:val="0"/>
                <w:sz w:val="28"/>
                <w:szCs w:val="28"/>
                <w:lang w:val="en-US" w:eastAsia="zh-CN"/>
              </w:rPr>
              <w:t>详见招标公告</w:t>
            </w:r>
          </w:p>
          <w:p w14:paraId="2E139D3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服务标准：</w:t>
            </w:r>
            <w:r>
              <w:rPr>
                <w:rFonts w:hint="eastAsia" w:ascii="宋体" w:hAnsi="宋体" w:eastAsia="宋体" w:cs="宋体"/>
                <w:kern w:val="0"/>
                <w:sz w:val="28"/>
                <w:szCs w:val="28"/>
                <w:lang w:val="en-US" w:eastAsia="zh-CN"/>
              </w:rPr>
              <w:t>合格</w:t>
            </w:r>
          </w:p>
        </w:tc>
      </w:tr>
    </w:tbl>
    <w:p w14:paraId="59CBA844">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磋商专家名单</w:t>
      </w:r>
      <w:r>
        <w:rPr>
          <w:rFonts w:hint="eastAsia" w:ascii="宋体" w:hAnsi="宋体" w:eastAsia="宋体" w:cs="宋体"/>
          <w:sz w:val="28"/>
          <w:szCs w:val="28"/>
        </w:rPr>
        <w:t>：</w:t>
      </w:r>
      <w:r>
        <w:rPr>
          <w:rFonts w:hint="eastAsia" w:ascii="宋体" w:hAnsi="宋体" w:eastAsia="宋体" w:cs="宋体"/>
          <w:color w:val="auto"/>
          <w:sz w:val="28"/>
          <w:szCs w:val="28"/>
          <w:lang w:val="en-US" w:eastAsia="zh-CN"/>
        </w:rPr>
        <w:t xml:space="preserve">蒋志超 韩永刚 罗梦洁 </w:t>
      </w:r>
    </w:p>
    <w:p w14:paraId="72E27C6E">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六、代理服务收费标准及金额</w:t>
      </w:r>
      <w:r>
        <w:rPr>
          <w:rFonts w:hint="eastAsia" w:ascii="宋体" w:hAnsi="宋体" w:eastAsia="宋体" w:cs="宋体"/>
          <w:sz w:val="28"/>
          <w:szCs w:val="28"/>
        </w:rPr>
        <w:t>：</w:t>
      </w:r>
      <w:r>
        <w:rPr>
          <w:rFonts w:hint="eastAsia" w:ascii="宋体" w:hAnsi="宋体" w:eastAsia="宋体" w:cs="宋体"/>
          <w:kern w:val="0"/>
          <w:sz w:val="28"/>
          <w:szCs w:val="28"/>
          <w:lang w:val="en-US" w:eastAsia="zh-CN"/>
        </w:rPr>
        <w:t>3300元</w:t>
      </w:r>
    </w:p>
    <w:p w14:paraId="49A158E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cs="宋体"/>
          <w:b/>
          <w:bCs/>
          <w:sz w:val="28"/>
          <w:szCs w:val="28"/>
          <w:lang w:eastAsia="zh-CN"/>
        </w:rPr>
      </w:pPr>
      <w:r>
        <w:rPr>
          <w:rFonts w:hint="eastAsia" w:ascii="宋体" w:hAnsi="宋体" w:eastAsia="宋体" w:cs="宋体"/>
          <w:b/>
          <w:bCs/>
          <w:sz w:val="28"/>
          <w:szCs w:val="28"/>
        </w:rPr>
        <w:t>七、公告期限</w:t>
      </w:r>
      <w:r>
        <w:rPr>
          <w:rFonts w:hint="eastAsia" w:ascii="宋体" w:hAnsi="宋体" w:cs="宋体"/>
          <w:b/>
          <w:bCs/>
          <w:sz w:val="28"/>
          <w:szCs w:val="28"/>
          <w:lang w:eastAsia="zh-CN"/>
        </w:rPr>
        <w:t>：</w:t>
      </w:r>
    </w:p>
    <w:p w14:paraId="0F5B1BA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自本公告发布之日起1个工作日。</w:t>
      </w:r>
    </w:p>
    <w:p w14:paraId="484F37C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八、其他补充事宜</w:t>
      </w:r>
    </w:p>
    <w:p w14:paraId="24506BC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kern w:val="0"/>
          <w:sz w:val="28"/>
          <w:szCs w:val="28"/>
        </w:rPr>
        <w:t>1.项目预算：</w:t>
      </w:r>
      <w:r>
        <w:rPr>
          <w:rFonts w:hint="eastAsia" w:ascii="宋体" w:hAnsi="宋体" w:eastAsia="宋体" w:cs="宋体"/>
          <w:color w:val="auto"/>
          <w:sz w:val="28"/>
          <w:szCs w:val="28"/>
          <w:lang w:val="en-US" w:eastAsia="zh-CN"/>
        </w:rPr>
        <w:t>22</w:t>
      </w:r>
      <w:r>
        <w:rPr>
          <w:rFonts w:hint="eastAsia" w:ascii="宋体" w:hAnsi="宋体" w:eastAsia="宋体" w:cs="宋体"/>
          <w:sz w:val="28"/>
          <w:szCs w:val="28"/>
        </w:rPr>
        <w:t>万元(人民币）</w:t>
      </w:r>
    </w:p>
    <w:p w14:paraId="7ACD8D82">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2.采购方式：竞争性磋商</w:t>
      </w:r>
    </w:p>
    <w:p w14:paraId="3A8BACCF">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3.评标日期及地点：</w:t>
      </w:r>
      <w:r>
        <w:rPr>
          <w:rFonts w:hint="eastAsia" w:ascii="宋体" w:hAnsi="宋体" w:eastAsia="宋体" w:cs="宋体"/>
          <w:color w:val="auto"/>
          <w:sz w:val="28"/>
          <w:szCs w:val="28"/>
          <w:lang w:val="en-US" w:eastAsia="zh-CN"/>
        </w:rPr>
        <w:t>2025</w:t>
      </w:r>
      <w:r>
        <w:rPr>
          <w:rFonts w:hint="eastAsia" w:ascii="宋体" w:hAnsi="宋体" w:eastAsia="宋体" w:cs="宋体"/>
          <w:kern w:val="0"/>
          <w:sz w:val="28"/>
          <w:szCs w:val="28"/>
        </w:rPr>
        <w:t>年</w:t>
      </w:r>
      <w:r>
        <w:rPr>
          <w:rFonts w:hint="eastAsia" w:ascii="宋体" w:hAnsi="宋体" w:eastAsia="宋体" w:cs="宋体"/>
          <w:color w:val="auto"/>
          <w:sz w:val="28"/>
          <w:szCs w:val="28"/>
          <w:lang w:val="en-US" w:eastAsia="zh-CN"/>
        </w:rPr>
        <w:t>8</w:t>
      </w:r>
      <w:r>
        <w:rPr>
          <w:rFonts w:hint="eastAsia" w:ascii="宋体" w:hAnsi="宋体" w:eastAsia="宋体" w:cs="宋体"/>
          <w:kern w:val="0"/>
          <w:sz w:val="28"/>
          <w:szCs w:val="28"/>
        </w:rPr>
        <w:t>月</w:t>
      </w:r>
      <w:r>
        <w:rPr>
          <w:rFonts w:hint="eastAsia" w:ascii="宋体" w:hAnsi="宋体" w:eastAsia="宋体" w:cs="宋体"/>
          <w:color w:val="auto"/>
          <w:sz w:val="28"/>
          <w:szCs w:val="28"/>
          <w:lang w:val="en-US" w:eastAsia="zh-CN"/>
        </w:rPr>
        <w:t>7</w:t>
      </w:r>
      <w:r>
        <w:rPr>
          <w:rFonts w:hint="eastAsia" w:ascii="宋体" w:hAnsi="宋体" w:eastAsia="宋体" w:cs="宋体"/>
          <w:kern w:val="0"/>
          <w:sz w:val="28"/>
          <w:szCs w:val="28"/>
        </w:rPr>
        <w:t>日，</w:t>
      </w:r>
      <w:r>
        <w:rPr>
          <w:rFonts w:hint="eastAsia" w:ascii="宋体" w:hAnsi="宋体" w:eastAsia="宋体" w:cs="宋体"/>
          <w:sz w:val="28"/>
          <w:szCs w:val="28"/>
          <w:highlight w:val="none"/>
          <w:lang w:eastAsia="zh-CN"/>
        </w:rPr>
        <w:t>白银高新技术产业开发区管理委员会</w:t>
      </w:r>
      <w:r>
        <w:rPr>
          <w:rFonts w:hint="eastAsia" w:ascii="宋体" w:hAnsi="宋体" w:eastAsia="宋体" w:cs="宋体"/>
          <w:kern w:val="0"/>
          <w:sz w:val="28"/>
          <w:szCs w:val="28"/>
        </w:rPr>
        <w:t>会议室</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w:t>
      </w:r>
      <w:r>
        <w:rPr>
          <w:rFonts w:hint="eastAsia" w:ascii="宋体" w:hAnsi="宋体" w:eastAsia="宋体" w:cs="宋体"/>
          <w:kern w:val="0"/>
          <w:sz w:val="28"/>
          <w:szCs w:val="28"/>
          <w:lang w:eastAsia="zh-CN"/>
        </w:rPr>
        <w:t>）。</w:t>
      </w:r>
      <w:bookmarkStart w:id="3" w:name="_GoBack"/>
      <w:bookmarkEnd w:id="3"/>
    </w:p>
    <w:p w14:paraId="641C5DD1">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4.磋商意见</w:t>
      </w:r>
    </w:p>
    <w:p w14:paraId="24FEF32D">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评标委员会根据采购文件中的评标办法进行评审，结果如下：</w:t>
      </w:r>
    </w:p>
    <w:tbl>
      <w:tblPr>
        <w:tblStyle w:val="6"/>
        <w:tblW w:w="87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0" w:type="dxa"/>
          <w:left w:w="0" w:type="dxa"/>
          <w:bottom w:w="0" w:type="dxa"/>
          <w:right w:w="0" w:type="dxa"/>
        </w:tblCellMar>
      </w:tblPr>
      <w:tblGrid>
        <w:gridCol w:w="2583"/>
        <w:gridCol w:w="1890"/>
        <w:gridCol w:w="1260"/>
        <w:gridCol w:w="1035"/>
        <w:gridCol w:w="810"/>
        <w:gridCol w:w="1180"/>
      </w:tblGrid>
      <w:tr w14:paraId="48BBAD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1ED5132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投标单位</w:t>
            </w:r>
          </w:p>
        </w:tc>
        <w:tc>
          <w:tcPr>
            <w:tcW w:w="1890" w:type="dxa"/>
            <w:shd w:val="clear" w:color="auto" w:fill="auto"/>
            <w:tcMar>
              <w:top w:w="14" w:type="dxa"/>
              <w:left w:w="14" w:type="dxa"/>
              <w:bottom w:w="14" w:type="dxa"/>
              <w:right w:w="14" w:type="dxa"/>
            </w:tcMar>
            <w:vAlign w:val="center"/>
          </w:tcPr>
          <w:p w14:paraId="348C0287">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商务</w:t>
            </w:r>
            <w:r>
              <w:rPr>
                <w:rFonts w:hint="eastAsia" w:ascii="宋体" w:hAnsi="宋体" w:eastAsia="宋体" w:cs="宋体"/>
                <w:kern w:val="0"/>
                <w:sz w:val="28"/>
                <w:szCs w:val="28"/>
                <w:lang w:val="en-US" w:eastAsia="zh-CN"/>
              </w:rPr>
              <w:t>及</w:t>
            </w:r>
            <w:r>
              <w:rPr>
                <w:rFonts w:hint="eastAsia" w:ascii="宋体" w:hAnsi="宋体" w:eastAsia="宋体" w:cs="宋体"/>
                <w:kern w:val="0"/>
                <w:sz w:val="28"/>
                <w:szCs w:val="28"/>
              </w:rPr>
              <w:t>技术分</w:t>
            </w:r>
          </w:p>
        </w:tc>
        <w:tc>
          <w:tcPr>
            <w:tcW w:w="1260" w:type="dxa"/>
            <w:shd w:val="clear" w:color="auto" w:fill="auto"/>
            <w:tcMar>
              <w:top w:w="14" w:type="dxa"/>
              <w:left w:w="14" w:type="dxa"/>
              <w:bottom w:w="14" w:type="dxa"/>
              <w:right w:w="14" w:type="dxa"/>
            </w:tcMar>
            <w:vAlign w:val="center"/>
          </w:tcPr>
          <w:p w14:paraId="0B985871">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价格分</w:t>
            </w:r>
          </w:p>
        </w:tc>
        <w:tc>
          <w:tcPr>
            <w:tcW w:w="1035" w:type="dxa"/>
            <w:shd w:val="clear" w:color="auto" w:fill="auto"/>
            <w:tcMar>
              <w:top w:w="14" w:type="dxa"/>
              <w:left w:w="14" w:type="dxa"/>
              <w:bottom w:w="14" w:type="dxa"/>
              <w:right w:w="14" w:type="dxa"/>
            </w:tcMar>
            <w:vAlign w:val="center"/>
          </w:tcPr>
          <w:p w14:paraId="73DF1C72">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总分</w:t>
            </w:r>
          </w:p>
        </w:tc>
        <w:tc>
          <w:tcPr>
            <w:tcW w:w="810" w:type="dxa"/>
            <w:shd w:val="clear" w:color="auto" w:fill="auto"/>
            <w:tcMar>
              <w:top w:w="14" w:type="dxa"/>
              <w:left w:w="14" w:type="dxa"/>
              <w:bottom w:w="14" w:type="dxa"/>
              <w:right w:w="14" w:type="dxa"/>
            </w:tcMar>
            <w:vAlign w:val="center"/>
          </w:tcPr>
          <w:p w14:paraId="2EC9FDD6">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名次</w:t>
            </w:r>
          </w:p>
        </w:tc>
        <w:tc>
          <w:tcPr>
            <w:tcW w:w="1180" w:type="dxa"/>
            <w:shd w:val="clear" w:color="auto" w:fill="auto"/>
            <w:tcMar>
              <w:top w:w="14" w:type="dxa"/>
              <w:left w:w="14" w:type="dxa"/>
              <w:bottom w:w="14" w:type="dxa"/>
              <w:right w:w="14" w:type="dxa"/>
            </w:tcMar>
            <w:vAlign w:val="center"/>
          </w:tcPr>
          <w:p w14:paraId="6FB49EE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中/小/微企业</w:t>
            </w:r>
          </w:p>
        </w:tc>
      </w:tr>
      <w:tr w14:paraId="043AF5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4C44005F">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甘肃天辰环境工程有限公司</w:t>
            </w:r>
          </w:p>
        </w:tc>
        <w:tc>
          <w:tcPr>
            <w:tcW w:w="1890" w:type="dxa"/>
            <w:shd w:val="clear" w:color="auto" w:fill="auto"/>
            <w:tcMar>
              <w:top w:w="14" w:type="dxa"/>
              <w:left w:w="14" w:type="dxa"/>
              <w:bottom w:w="14" w:type="dxa"/>
              <w:right w:w="14" w:type="dxa"/>
            </w:tcMar>
            <w:vAlign w:val="center"/>
          </w:tcPr>
          <w:p w14:paraId="78803C0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68</w:t>
            </w:r>
          </w:p>
        </w:tc>
        <w:tc>
          <w:tcPr>
            <w:tcW w:w="1260" w:type="dxa"/>
            <w:shd w:val="clear" w:color="auto" w:fill="auto"/>
            <w:tcMar>
              <w:top w:w="14" w:type="dxa"/>
              <w:left w:w="14" w:type="dxa"/>
              <w:bottom w:w="14" w:type="dxa"/>
              <w:right w:w="14" w:type="dxa"/>
            </w:tcMar>
            <w:vAlign w:val="center"/>
          </w:tcPr>
          <w:p w14:paraId="76E8708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20</w:t>
            </w:r>
          </w:p>
        </w:tc>
        <w:tc>
          <w:tcPr>
            <w:tcW w:w="1035" w:type="dxa"/>
            <w:shd w:val="clear" w:color="auto" w:fill="auto"/>
            <w:tcMar>
              <w:top w:w="14" w:type="dxa"/>
              <w:left w:w="14" w:type="dxa"/>
              <w:bottom w:w="14" w:type="dxa"/>
              <w:right w:w="14" w:type="dxa"/>
            </w:tcMar>
            <w:vAlign w:val="center"/>
          </w:tcPr>
          <w:p w14:paraId="06E59CC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88</w:t>
            </w:r>
          </w:p>
        </w:tc>
        <w:tc>
          <w:tcPr>
            <w:tcW w:w="810" w:type="dxa"/>
            <w:shd w:val="clear" w:color="auto" w:fill="auto"/>
            <w:tcMar>
              <w:top w:w="14" w:type="dxa"/>
              <w:left w:w="14" w:type="dxa"/>
              <w:bottom w:w="14" w:type="dxa"/>
              <w:right w:w="14" w:type="dxa"/>
            </w:tcMar>
            <w:vAlign w:val="center"/>
          </w:tcPr>
          <w:p w14:paraId="35B343F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w:t>
            </w:r>
          </w:p>
        </w:tc>
        <w:tc>
          <w:tcPr>
            <w:tcW w:w="1180" w:type="dxa"/>
            <w:shd w:val="clear" w:color="auto" w:fill="auto"/>
            <w:tcMar>
              <w:top w:w="14" w:type="dxa"/>
              <w:left w:w="14" w:type="dxa"/>
              <w:bottom w:w="14" w:type="dxa"/>
              <w:right w:w="14" w:type="dxa"/>
            </w:tcMar>
            <w:vAlign w:val="center"/>
          </w:tcPr>
          <w:p w14:paraId="640CD714">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AC7C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424B1D7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兰州洁华环境评价咨询有限公司</w:t>
            </w:r>
          </w:p>
        </w:tc>
        <w:tc>
          <w:tcPr>
            <w:tcW w:w="1890" w:type="dxa"/>
            <w:shd w:val="clear" w:color="auto" w:fill="auto"/>
            <w:tcMar>
              <w:top w:w="14" w:type="dxa"/>
              <w:left w:w="14" w:type="dxa"/>
              <w:bottom w:w="14" w:type="dxa"/>
              <w:right w:w="14" w:type="dxa"/>
            </w:tcMar>
            <w:vAlign w:val="center"/>
          </w:tcPr>
          <w:p w14:paraId="6842B86A">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55</w:t>
            </w:r>
          </w:p>
        </w:tc>
        <w:tc>
          <w:tcPr>
            <w:tcW w:w="1260" w:type="dxa"/>
            <w:shd w:val="clear" w:color="auto" w:fill="auto"/>
            <w:tcMar>
              <w:top w:w="14" w:type="dxa"/>
              <w:left w:w="14" w:type="dxa"/>
              <w:bottom w:w="14" w:type="dxa"/>
              <w:right w:w="14" w:type="dxa"/>
            </w:tcMar>
            <w:vAlign w:val="center"/>
          </w:tcPr>
          <w:p w14:paraId="5540BEA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19.68</w:t>
            </w:r>
          </w:p>
        </w:tc>
        <w:tc>
          <w:tcPr>
            <w:tcW w:w="1035" w:type="dxa"/>
            <w:shd w:val="clear" w:color="auto" w:fill="auto"/>
            <w:tcMar>
              <w:top w:w="14" w:type="dxa"/>
              <w:left w:w="14" w:type="dxa"/>
              <w:bottom w:w="14" w:type="dxa"/>
              <w:right w:w="14" w:type="dxa"/>
            </w:tcMar>
            <w:vAlign w:val="center"/>
          </w:tcPr>
          <w:p w14:paraId="43B30FB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74.68</w:t>
            </w:r>
          </w:p>
        </w:tc>
        <w:tc>
          <w:tcPr>
            <w:tcW w:w="810" w:type="dxa"/>
            <w:shd w:val="clear" w:color="auto" w:fill="auto"/>
            <w:tcMar>
              <w:top w:w="14" w:type="dxa"/>
              <w:left w:w="14" w:type="dxa"/>
              <w:bottom w:w="14" w:type="dxa"/>
              <w:right w:w="14" w:type="dxa"/>
            </w:tcMar>
            <w:vAlign w:val="center"/>
          </w:tcPr>
          <w:p w14:paraId="567749B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w:t>
            </w:r>
          </w:p>
        </w:tc>
        <w:tc>
          <w:tcPr>
            <w:tcW w:w="1180" w:type="dxa"/>
            <w:shd w:val="clear" w:color="auto" w:fill="auto"/>
            <w:tcMar>
              <w:top w:w="14" w:type="dxa"/>
              <w:left w:w="14" w:type="dxa"/>
              <w:bottom w:w="14" w:type="dxa"/>
              <w:right w:w="14" w:type="dxa"/>
            </w:tcMar>
            <w:vAlign w:val="center"/>
          </w:tcPr>
          <w:p w14:paraId="657F3B3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42E6E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5" w:hRule="atLeast"/>
          <w:jc w:val="center"/>
        </w:trPr>
        <w:tc>
          <w:tcPr>
            <w:tcW w:w="2583" w:type="dxa"/>
            <w:shd w:val="clear" w:color="auto" w:fill="auto"/>
            <w:tcMar>
              <w:top w:w="14" w:type="dxa"/>
              <w:left w:w="14" w:type="dxa"/>
              <w:bottom w:w="14" w:type="dxa"/>
              <w:right w:w="14" w:type="dxa"/>
            </w:tcMar>
            <w:vAlign w:val="center"/>
          </w:tcPr>
          <w:p w14:paraId="5C6087A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兰州森新环境科技有限公司</w:t>
            </w:r>
          </w:p>
        </w:tc>
        <w:tc>
          <w:tcPr>
            <w:tcW w:w="1890" w:type="dxa"/>
            <w:shd w:val="clear" w:color="auto" w:fill="auto"/>
            <w:tcMar>
              <w:top w:w="14" w:type="dxa"/>
              <w:left w:w="14" w:type="dxa"/>
              <w:bottom w:w="14" w:type="dxa"/>
              <w:right w:w="14" w:type="dxa"/>
            </w:tcMar>
            <w:vAlign w:val="center"/>
          </w:tcPr>
          <w:p w14:paraId="482C2999">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54</w:t>
            </w:r>
          </w:p>
        </w:tc>
        <w:tc>
          <w:tcPr>
            <w:tcW w:w="1260" w:type="dxa"/>
            <w:shd w:val="clear" w:color="auto" w:fill="auto"/>
            <w:tcMar>
              <w:top w:w="14" w:type="dxa"/>
              <w:left w:w="14" w:type="dxa"/>
              <w:bottom w:w="14" w:type="dxa"/>
              <w:right w:w="14" w:type="dxa"/>
            </w:tcMar>
            <w:vAlign w:val="center"/>
          </w:tcPr>
          <w:p w14:paraId="0C3B3F4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19.82</w:t>
            </w:r>
          </w:p>
        </w:tc>
        <w:tc>
          <w:tcPr>
            <w:tcW w:w="1035" w:type="dxa"/>
            <w:shd w:val="clear" w:color="auto" w:fill="auto"/>
            <w:tcMar>
              <w:top w:w="14" w:type="dxa"/>
              <w:left w:w="14" w:type="dxa"/>
              <w:bottom w:w="14" w:type="dxa"/>
              <w:right w:w="14" w:type="dxa"/>
            </w:tcMar>
            <w:vAlign w:val="center"/>
          </w:tcPr>
          <w:p w14:paraId="4737EA9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73.82</w:t>
            </w:r>
          </w:p>
        </w:tc>
        <w:tc>
          <w:tcPr>
            <w:tcW w:w="810" w:type="dxa"/>
            <w:shd w:val="clear" w:color="auto" w:fill="auto"/>
            <w:tcMar>
              <w:top w:w="14" w:type="dxa"/>
              <w:left w:w="14" w:type="dxa"/>
              <w:bottom w:w="14" w:type="dxa"/>
              <w:right w:w="14" w:type="dxa"/>
            </w:tcMar>
            <w:vAlign w:val="center"/>
          </w:tcPr>
          <w:p w14:paraId="6E8EC9E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3</w:t>
            </w:r>
          </w:p>
        </w:tc>
        <w:tc>
          <w:tcPr>
            <w:tcW w:w="1180" w:type="dxa"/>
            <w:shd w:val="clear" w:color="auto" w:fill="auto"/>
            <w:tcMar>
              <w:top w:w="14" w:type="dxa"/>
              <w:left w:w="14" w:type="dxa"/>
              <w:bottom w:w="14" w:type="dxa"/>
              <w:right w:w="14" w:type="dxa"/>
            </w:tcMar>
            <w:vAlign w:val="center"/>
          </w:tcPr>
          <w:p w14:paraId="23604BE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bl>
    <w:p w14:paraId="0C25447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未通过资格审查或符合性审查的</w:t>
      </w:r>
      <w:r>
        <w:rPr>
          <w:rFonts w:hint="eastAsia" w:ascii="宋体" w:hAnsi="宋体" w:eastAsia="宋体" w:cs="宋体"/>
          <w:kern w:val="0"/>
          <w:sz w:val="28"/>
          <w:szCs w:val="28"/>
          <w:lang w:val="en-US" w:eastAsia="zh-CN"/>
        </w:rPr>
        <w:t>供应商</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无</w:t>
      </w:r>
    </w:p>
    <w:p w14:paraId="5243058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5.如对采购结果有异议，可在本公告期限届满之日起七个工作日内向采购人或采购代理机构提出质疑，逾期将依法不予受理。</w:t>
      </w:r>
    </w:p>
    <w:p w14:paraId="21F4951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九、凡对本次公告内容提出询问、质疑、投诉，请按以下方式联系。</w:t>
      </w:r>
    </w:p>
    <w:p w14:paraId="2BEDB7F9">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1.采购人信息</w:t>
      </w:r>
    </w:p>
    <w:p w14:paraId="38F04913">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名    称：</w:t>
      </w:r>
      <w:r>
        <w:rPr>
          <w:rFonts w:hint="eastAsia" w:ascii="宋体" w:hAnsi="宋体" w:eastAsia="宋体" w:cs="宋体"/>
          <w:sz w:val="28"/>
          <w:szCs w:val="28"/>
          <w:highlight w:val="none"/>
          <w:lang w:eastAsia="zh-CN"/>
        </w:rPr>
        <w:t>白银高新技术产业开发区管理委员会</w:t>
      </w:r>
    </w:p>
    <w:p w14:paraId="4445C4EE">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 　　</w:t>
      </w:r>
    </w:p>
    <w:p w14:paraId="571B65BB">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刘于靖</w:t>
      </w:r>
    </w:p>
    <w:p w14:paraId="44B7652B">
      <w:pPr>
        <w:pStyle w:val="2"/>
        <w:keepNext w:val="0"/>
        <w:keepLines w:val="0"/>
        <w:pageBreakBefore w:val="0"/>
        <w:widowControl w:val="0"/>
        <w:kinsoku/>
        <w:wordWrap/>
        <w:overflowPunct/>
        <w:topLinePunct w:val="0"/>
        <w:autoSpaceDE/>
        <w:autoSpaceDN/>
        <w:bidi w:val="0"/>
        <w:adjustRightInd/>
        <w:snapToGrid/>
        <w:spacing w:after="0" w:line="520" w:lineRule="exact"/>
        <w:ind w:right="0"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kern w:val="0"/>
          <w:sz w:val="28"/>
          <w:szCs w:val="28"/>
        </w:rPr>
        <w:t>联系方式：</w:t>
      </w:r>
      <w:bookmarkStart w:id="2" w:name="OLE_LINK20"/>
      <w:r>
        <w:rPr>
          <w:rFonts w:hint="eastAsia" w:ascii="宋体" w:hAnsi="宋体" w:eastAsia="宋体" w:cs="宋体"/>
          <w:sz w:val="28"/>
          <w:szCs w:val="28"/>
          <w:highlight w:val="none"/>
        </w:rPr>
        <w:t>18893080292</w:t>
      </w:r>
    </w:p>
    <w:bookmarkEnd w:id="2"/>
    <w:p w14:paraId="3AFCC4C1">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2.采购代理机构信息</w:t>
      </w:r>
    </w:p>
    <w:p w14:paraId="7B69578D">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名    称：甘肃裕锦航建设项目管理有限公司 </w:t>
      </w:r>
    </w:p>
    <w:p w14:paraId="06652738">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址：甘肃省白银市白银区滨河西路120号　　　</w:t>
      </w:r>
    </w:p>
    <w:p w14:paraId="58FB30DE">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何晓莲</w:t>
      </w:r>
      <w:r>
        <w:rPr>
          <w:rFonts w:hint="eastAsia" w:ascii="宋体" w:hAnsi="宋体" w:eastAsia="宋体" w:cs="宋体"/>
          <w:kern w:val="0"/>
          <w:sz w:val="28"/>
          <w:szCs w:val="28"/>
        </w:rPr>
        <w:t xml:space="preserve">          </w:t>
      </w:r>
    </w:p>
    <w:p w14:paraId="42F291D9">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联系方式：189</w:t>
      </w:r>
      <w:r>
        <w:rPr>
          <w:rFonts w:hint="eastAsia" w:ascii="宋体" w:hAnsi="宋体" w:eastAsia="宋体" w:cs="宋体"/>
          <w:kern w:val="0"/>
          <w:sz w:val="28"/>
          <w:szCs w:val="28"/>
          <w:lang w:val="en-US" w:eastAsia="zh-CN"/>
        </w:rPr>
        <w:t>19436600</w:t>
      </w:r>
    </w:p>
    <w:p w14:paraId="7F602229">
      <w:pPr>
        <w:pStyle w:val="3"/>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42AC5A39">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539E5E3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062C902A">
      <w:pPr>
        <w:pStyle w:val="3"/>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67B2A210">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05E627B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0486D020">
      <w:pPr>
        <w:pStyle w:val="3"/>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53974857">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5C1F1F0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72287070">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50B17779">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353437AF">
      <w:pPr>
        <w:pStyle w:val="3"/>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57BE7874">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67C926A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7AFF8664">
      <w:pPr>
        <w:pStyle w:val="3"/>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0180DCCE">
      <w:pPr>
        <w:pStyle w:val="4"/>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079526EF">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1C6C410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74FB9"/>
    <w:rsid w:val="0100390C"/>
    <w:rsid w:val="01572F0D"/>
    <w:rsid w:val="047B14FB"/>
    <w:rsid w:val="04FD0162"/>
    <w:rsid w:val="057B5C57"/>
    <w:rsid w:val="05CD222A"/>
    <w:rsid w:val="07DD49A7"/>
    <w:rsid w:val="0842480A"/>
    <w:rsid w:val="08BF5E5A"/>
    <w:rsid w:val="09C15C02"/>
    <w:rsid w:val="09D21BBD"/>
    <w:rsid w:val="0B786794"/>
    <w:rsid w:val="0CBB102F"/>
    <w:rsid w:val="0D751A39"/>
    <w:rsid w:val="0DC21F49"/>
    <w:rsid w:val="0DF02010"/>
    <w:rsid w:val="0E1C78AB"/>
    <w:rsid w:val="0EAF24CD"/>
    <w:rsid w:val="0EDE2DB2"/>
    <w:rsid w:val="0FC93A62"/>
    <w:rsid w:val="107C2883"/>
    <w:rsid w:val="1102547E"/>
    <w:rsid w:val="11380EA0"/>
    <w:rsid w:val="126006FF"/>
    <w:rsid w:val="1303728B"/>
    <w:rsid w:val="13877EBC"/>
    <w:rsid w:val="13D12EE6"/>
    <w:rsid w:val="13E41A12"/>
    <w:rsid w:val="13F866C4"/>
    <w:rsid w:val="14164D9C"/>
    <w:rsid w:val="148231CE"/>
    <w:rsid w:val="15E05662"/>
    <w:rsid w:val="16924BAE"/>
    <w:rsid w:val="18934C0E"/>
    <w:rsid w:val="18972950"/>
    <w:rsid w:val="18F27B86"/>
    <w:rsid w:val="19185113"/>
    <w:rsid w:val="19836A30"/>
    <w:rsid w:val="19F65454"/>
    <w:rsid w:val="1A3D0DF0"/>
    <w:rsid w:val="1B3C333B"/>
    <w:rsid w:val="1C67088B"/>
    <w:rsid w:val="1D2624F4"/>
    <w:rsid w:val="1E164317"/>
    <w:rsid w:val="1E7B23CC"/>
    <w:rsid w:val="1E7F010E"/>
    <w:rsid w:val="1F2436EE"/>
    <w:rsid w:val="212D20A3"/>
    <w:rsid w:val="21A97250"/>
    <w:rsid w:val="21E169EA"/>
    <w:rsid w:val="22244B28"/>
    <w:rsid w:val="22E26EBD"/>
    <w:rsid w:val="23435539"/>
    <w:rsid w:val="241035B6"/>
    <w:rsid w:val="24AA38A8"/>
    <w:rsid w:val="25EE7927"/>
    <w:rsid w:val="2604714B"/>
    <w:rsid w:val="26153106"/>
    <w:rsid w:val="266879AE"/>
    <w:rsid w:val="272E7452"/>
    <w:rsid w:val="27FD1D81"/>
    <w:rsid w:val="29AF73CD"/>
    <w:rsid w:val="2B626DED"/>
    <w:rsid w:val="2B920D55"/>
    <w:rsid w:val="2CBA67B5"/>
    <w:rsid w:val="2D404F0C"/>
    <w:rsid w:val="2E151FA8"/>
    <w:rsid w:val="2EDC05D9"/>
    <w:rsid w:val="2F0361F1"/>
    <w:rsid w:val="2F285C58"/>
    <w:rsid w:val="312A215B"/>
    <w:rsid w:val="31E63BA8"/>
    <w:rsid w:val="33182487"/>
    <w:rsid w:val="34BF7658"/>
    <w:rsid w:val="34F01269"/>
    <w:rsid w:val="3537680C"/>
    <w:rsid w:val="36363350"/>
    <w:rsid w:val="368F0CB2"/>
    <w:rsid w:val="37BA1D5F"/>
    <w:rsid w:val="3C1C4D96"/>
    <w:rsid w:val="3E1F291C"/>
    <w:rsid w:val="3E2D328B"/>
    <w:rsid w:val="3FC65745"/>
    <w:rsid w:val="42D40179"/>
    <w:rsid w:val="43A318F9"/>
    <w:rsid w:val="44466E54"/>
    <w:rsid w:val="445F7F16"/>
    <w:rsid w:val="44AD6ED3"/>
    <w:rsid w:val="44B02520"/>
    <w:rsid w:val="44F00B6E"/>
    <w:rsid w:val="451505D5"/>
    <w:rsid w:val="455C26A8"/>
    <w:rsid w:val="45BE6EBE"/>
    <w:rsid w:val="467F03FC"/>
    <w:rsid w:val="46C87FF5"/>
    <w:rsid w:val="47372A84"/>
    <w:rsid w:val="47694C08"/>
    <w:rsid w:val="48DD58AD"/>
    <w:rsid w:val="49F70BF1"/>
    <w:rsid w:val="4A123335"/>
    <w:rsid w:val="4A713688"/>
    <w:rsid w:val="4D502AF2"/>
    <w:rsid w:val="4ED432AF"/>
    <w:rsid w:val="4F2F6737"/>
    <w:rsid w:val="4F6F02C0"/>
    <w:rsid w:val="4F766114"/>
    <w:rsid w:val="50A0169A"/>
    <w:rsid w:val="50A15412"/>
    <w:rsid w:val="51B353FD"/>
    <w:rsid w:val="52DC6BD6"/>
    <w:rsid w:val="532820A9"/>
    <w:rsid w:val="532D11DF"/>
    <w:rsid w:val="53C90F08"/>
    <w:rsid w:val="541128AF"/>
    <w:rsid w:val="547370C6"/>
    <w:rsid w:val="555869E7"/>
    <w:rsid w:val="55D81C32"/>
    <w:rsid w:val="562C1C22"/>
    <w:rsid w:val="56705FB3"/>
    <w:rsid w:val="568B06F7"/>
    <w:rsid w:val="568D446F"/>
    <w:rsid w:val="57362D58"/>
    <w:rsid w:val="575D6537"/>
    <w:rsid w:val="57620B9D"/>
    <w:rsid w:val="578F06BB"/>
    <w:rsid w:val="57D460CD"/>
    <w:rsid w:val="581873EC"/>
    <w:rsid w:val="58FD3402"/>
    <w:rsid w:val="596D4A2C"/>
    <w:rsid w:val="5AA24261"/>
    <w:rsid w:val="5BD14DFE"/>
    <w:rsid w:val="5D027239"/>
    <w:rsid w:val="5DA31058"/>
    <w:rsid w:val="5FF217E7"/>
    <w:rsid w:val="607E307A"/>
    <w:rsid w:val="624B51DE"/>
    <w:rsid w:val="628F156F"/>
    <w:rsid w:val="62BB487B"/>
    <w:rsid w:val="63B53257"/>
    <w:rsid w:val="64927B46"/>
    <w:rsid w:val="64B21544"/>
    <w:rsid w:val="64FE0607"/>
    <w:rsid w:val="650B13F3"/>
    <w:rsid w:val="660E6C4E"/>
    <w:rsid w:val="66A7157D"/>
    <w:rsid w:val="67283D40"/>
    <w:rsid w:val="677551D7"/>
    <w:rsid w:val="67EE0AE5"/>
    <w:rsid w:val="69470DF5"/>
    <w:rsid w:val="699C7A24"/>
    <w:rsid w:val="6B5C045C"/>
    <w:rsid w:val="6B5E41D4"/>
    <w:rsid w:val="6D4F2026"/>
    <w:rsid w:val="6D997745"/>
    <w:rsid w:val="6E474FB9"/>
    <w:rsid w:val="6F394D3C"/>
    <w:rsid w:val="70E94540"/>
    <w:rsid w:val="717958C4"/>
    <w:rsid w:val="71DF714A"/>
    <w:rsid w:val="72021D5D"/>
    <w:rsid w:val="729E292F"/>
    <w:rsid w:val="7386076C"/>
    <w:rsid w:val="73B40E35"/>
    <w:rsid w:val="73F61362"/>
    <w:rsid w:val="74235FBB"/>
    <w:rsid w:val="743E4BA3"/>
    <w:rsid w:val="74626AE3"/>
    <w:rsid w:val="748F53FE"/>
    <w:rsid w:val="76D9077B"/>
    <w:rsid w:val="7717036B"/>
    <w:rsid w:val="7808174F"/>
    <w:rsid w:val="78462278"/>
    <w:rsid w:val="78C86E1F"/>
    <w:rsid w:val="79256331"/>
    <w:rsid w:val="7B454A69"/>
    <w:rsid w:val="7BF30969"/>
    <w:rsid w:val="7C9B5288"/>
    <w:rsid w:val="7CC540B3"/>
    <w:rsid w:val="7D230DDA"/>
    <w:rsid w:val="7E0B3D48"/>
    <w:rsid w:val="7E576F8D"/>
    <w:rsid w:val="7F8E4C30"/>
    <w:rsid w:val="7F9542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after="120" w:line="360" w:lineRule="auto"/>
      <w:ind w:firstLine="420"/>
    </w:pPr>
    <w:rPr>
      <w:sz w:val="24"/>
    </w:rPr>
  </w:style>
  <w:style w:type="paragraph" w:styleId="3">
    <w:name w:val="Body Text"/>
    <w:basedOn w:val="1"/>
    <w:qFormat/>
    <w:uiPriority w:val="1"/>
    <w:rPr>
      <w:sz w:val="32"/>
      <w:szCs w:val="32"/>
    </w:rPr>
  </w:style>
  <w:style w:type="paragraph" w:styleId="4">
    <w:name w:val="toc 3"/>
    <w:basedOn w:val="1"/>
    <w:next w:val="1"/>
    <w:qFormat/>
    <w:uiPriority w:val="0"/>
    <w:pPr>
      <w:ind w:left="840" w:leftChars="400"/>
    </w:p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ascii="华文仿宋" w:hAnsi="华文仿宋" w:eastAsia="华文仿宋" w:cs="华文仿宋"/>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683</Words>
  <Characters>758</Characters>
  <TotalTime>16</TotalTime>
  <ScaleCrop>false</ScaleCrop>
  <LinksUpToDate>false</LinksUpToDate>
  <CharactersWithSpaces>797</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2025-05-20T16:41:00Z</dcterms:created>
  <dc:creator>Administrator</dc:creator>
  <cp:lastModifiedBy>皓轩@娘亲</cp:lastModifiedBy>
  <dcterms:modified xsi:type="dcterms:W3CDTF">2025-08-07T06:57:04Z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eyJoZGlkIjoiNTdjMWU3M2Y2ZThlZWJmN2M5NTAyNjI0NjA5MTliMDgiLCJ1c2VySWQiOiIxMTM0MzMzNzE0In0=</vt:lpwstr>
  </property>
  <property fmtid="{D5CDD505-2E9C-101B-9397-08002B2CF9AE}" pid="3" name="KSOProductBuildVer">
    <vt:lpwstr>2052-12.1.0.21541</vt:lpwstr>
  </property>
  <property fmtid="{D5CDD505-2E9C-101B-9397-08002B2CF9AE}" pid="4" name="ICV">
    <vt:lpwstr>4F511179F8E34184B50CC13FB702D795_12</vt:lpwstr>
  </property>
</Properties>
</file>