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AFFA08">
      <w:pPr>
        <w:spacing w:line="240" w:lineRule="auto"/>
        <w:jc w:val="center"/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工作量清单</w:t>
      </w:r>
    </w:p>
    <w:tbl>
      <w:tblPr>
        <w:tblStyle w:val="3"/>
        <w:tblpPr w:leftFromText="180" w:rightFromText="180" w:vertAnchor="text" w:horzAnchor="page" w:tblpX="1002" w:tblpY="1444"/>
        <w:tblOverlap w:val="never"/>
        <w:tblW w:w="96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2260"/>
        <w:gridCol w:w="3250"/>
        <w:gridCol w:w="1180"/>
        <w:gridCol w:w="1625"/>
      </w:tblGrid>
      <w:tr w14:paraId="74ECD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3620" w:type="dxa"/>
            <w:gridSpan w:val="2"/>
            <w:vAlign w:val="center"/>
          </w:tcPr>
          <w:p w14:paraId="091066DD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  <w:t>检测项目</w:t>
            </w:r>
          </w:p>
        </w:tc>
        <w:tc>
          <w:tcPr>
            <w:tcW w:w="3250" w:type="dxa"/>
            <w:vAlign w:val="center"/>
          </w:tcPr>
          <w:p w14:paraId="678DF9DF">
            <w:pPr>
              <w:jc w:val="center"/>
              <w:rPr>
                <w:rFonts w:hint="default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  <w:t>检测内容及工作量</w:t>
            </w:r>
          </w:p>
        </w:tc>
        <w:tc>
          <w:tcPr>
            <w:tcW w:w="1180" w:type="dxa"/>
            <w:vAlign w:val="center"/>
          </w:tcPr>
          <w:p w14:paraId="02C1FD42">
            <w:pPr>
              <w:jc w:val="center"/>
              <w:rPr>
                <w:rFonts w:hint="default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  <w:t>数量</w:t>
            </w:r>
          </w:p>
        </w:tc>
        <w:tc>
          <w:tcPr>
            <w:tcW w:w="1625" w:type="dxa"/>
            <w:vAlign w:val="center"/>
          </w:tcPr>
          <w:p w14:paraId="31D5B6B0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  <w:t>备注</w:t>
            </w:r>
          </w:p>
        </w:tc>
      </w:tr>
      <w:tr w14:paraId="300E1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vMerge w:val="restart"/>
            <w:vAlign w:val="center"/>
          </w:tcPr>
          <w:p w14:paraId="2E6C07E5">
            <w:pPr>
              <w:jc w:val="center"/>
              <w:rPr>
                <w:rFonts w:hint="default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升压变电站</w:t>
            </w:r>
          </w:p>
        </w:tc>
        <w:tc>
          <w:tcPr>
            <w:tcW w:w="2260" w:type="dxa"/>
          </w:tcPr>
          <w:p w14:paraId="233B84C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a)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主控楼、变配电室的内部防雷装置和外部防雷装置性能</w:t>
            </w:r>
          </w:p>
        </w:tc>
        <w:tc>
          <w:tcPr>
            <w:tcW w:w="3250" w:type="dxa"/>
            <w:vMerge w:val="restart"/>
            <w:vAlign w:val="center"/>
          </w:tcPr>
          <w:p w14:paraId="3F4BCF13">
            <w:pPr>
              <w:jc w:val="center"/>
              <w:rPr>
                <w:rFonts w:hint="default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升压站：接闪杆；龙门架；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避雷器ABC相；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电流互感器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；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端子箱；刀闸机构箱；线路接地刀闸；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线路刀闸机构箱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；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路开关；线路电压互感器；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电压互感器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；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电压互感器机构箱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；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电压互感器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端子箱；6台SVG;主变压器。</w:t>
            </w:r>
          </w:p>
        </w:tc>
        <w:tc>
          <w:tcPr>
            <w:tcW w:w="1180" w:type="dxa"/>
            <w:vMerge w:val="restart"/>
            <w:vAlign w:val="center"/>
          </w:tcPr>
          <w:p w14:paraId="213BEA9A">
            <w:pPr>
              <w:jc w:val="center"/>
              <w:rPr>
                <w:rFonts w:hint="default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10项，点位149</w:t>
            </w:r>
          </w:p>
        </w:tc>
        <w:tc>
          <w:tcPr>
            <w:tcW w:w="1625" w:type="dxa"/>
            <w:vMerge w:val="restart"/>
            <w:vAlign w:val="center"/>
          </w:tcPr>
          <w:p w14:paraId="684A7DC6">
            <w:pPr>
              <w:jc w:val="center"/>
              <w:rPr>
                <w:rFonts w:hint="default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0D01B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vMerge w:val="continue"/>
            <w:vAlign w:val="center"/>
          </w:tcPr>
          <w:p w14:paraId="1DDED463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0" w:type="dxa"/>
          </w:tcPr>
          <w:p w14:paraId="5CAB270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b)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各类配电柜、开关柜的等电位连接情况</w:t>
            </w:r>
          </w:p>
        </w:tc>
        <w:tc>
          <w:tcPr>
            <w:tcW w:w="3250" w:type="dxa"/>
            <w:vMerge w:val="continue"/>
          </w:tcPr>
          <w:p w14:paraId="2B5C830F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Merge w:val="continue"/>
          </w:tcPr>
          <w:p w14:paraId="32B6E847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Merge w:val="continue"/>
          </w:tcPr>
          <w:p w14:paraId="385F9F06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696BE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vMerge w:val="continue"/>
            <w:vAlign w:val="center"/>
          </w:tcPr>
          <w:p w14:paraId="29347708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0" w:type="dxa"/>
          </w:tcPr>
          <w:p w14:paraId="1BD847F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c)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各类配电柜、开关柜内的电涌保护器性能及连接情况</w:t>
            </w:r>
          </w:p>
        </w:tc>
        <w:tc>
          <w:tcPr>
            <w:tcW w:w="3250" w:type="dxa"/>
            <w:vMerge w:val="continue"/>
          </w:tcPr>
          <w:p w14:paraId="11745B45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Merge w:val="continue"/>
          </w:tcPr>
          <w:p w14:paraId="48E16F2F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Merge w:val="continue"/>
          </w:tcPr>
          <w:p w14:paraId="58719F8C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30A1E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vMerge w:val="continue"/>
            <w:vAlign w:val="center"/>
          </w:tcPr>
          <w:p w14:paraId="553E4755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0" w:type="dxa"/>
          </w:tcPr>
          <w:p w14:paraId="136E895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d)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各设备之间的电气完整性</w:t>
            </w:r>
          </w:p>
        </w:tc>
        <w:tc>
          <w:tcPr>
            <w:tcW w:w="3250" w:type="dxa"/>
            <w:vMerge w:val="continue"/>
          </w:tcPr>
          <w:p w14:paraId="0A559835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Merge w:val="continue"/>
          </w:tcPr>
          <w:p w14:paraId="10701596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Merge w:val="continue"/>
          </w:tcPr>
          <w:p w14:paraId="7ACE25F0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7F2B0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vMerge w:val="continue"/>
            <w:vAlign w:val="center"/>
          </w:tcPr>
          <w:p w14:paraId="1FF02E24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0" w:type="dxa"/>
          </w:tcPr>
          <w:p w14:paraId="0DF13C4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e)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接地阻抗</w:t>
            </w:r>
          </w:p>
        </w:tc>
        <w:tc>
          <w:tcPr>
            <w:tcW w:w="3250" w:type="dxa"/>
            <w:vMerge w:val="continue"/>
          </w:tcPr>
          <w:p w14:paraId="5920E78B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Merge w:val="continue"/>
          </w:tcPr>
          <w:p w14:paraId="69FB5ED3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Merge w:val="continue"/>
          </w:tcPr>
          <w:p w14:paraId="19B0622A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146D3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vMerge w:val="continue"/>
            <w:vAlign w:val="center"/>
          </w:tcPr>
          <w:p w14:paraId="43C60A48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0" w:type="dxa"/>
          </w:tcPr>
          <w:p w14:paraId="42F8533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f)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跨步电位差</w:t>
            </w:r>
          </w:p>
        </w:tc>
        <w:tc>
          <w:tcPr>
            <w:tcW w:w="3250" w:type="dxa"/>
            <w:vMerge w:val="continue"/>
          </w:tcPr>
          <w:p w14:paraId="27C09146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Merge w:val="continue"/>
          </w:tcPr>
          <w:p w14:paraId="25EA8CF2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Merge w:val="continue"/>
          </w:tcPr>
          <w:p w14:paraId="524895CF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38B9D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vMerge w:val="continue"/>
            <w:vAlign w:val="center"/>
          </w:tcPr>
          <w:p w14:paraId="498B223D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0" w:type="dxa"/>
          </w:tcPr>
          <w:p w14:paraId="27A7949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g)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接触电位差</w:t>
            </w:r>
          </w:p>
        </w:tc>
        <w:tc>
          <w:tcPr>
            <w:tcW w:w="3250" w:type="dxa"/>
            <w:vMerge w:val="continue"/>
          </w:tcPr>
          <w:p w14:paraId="3A04551F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Merge w:val="continue"/>
          </w:tcPr>
          <w:p w14:paraId="568797A0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Merge w:val="continue"/>
          </w:tcPr>
          <w:p w14:paraId="6C918AC8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019FC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vMerge w:val="continue"/>
            <w:vAlign w:val="center"/>
          </w:tcPr>
          <w:p w14:paraId="593EACFF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0" w:type="dxa"/>
          </w:tcPr>
          <w:p w14:paraId="43390C0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h)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场区地表电位梯度</w:t>
            </w:r>
          </w:p>
        </w:tc>
        <w:tc>
          <w:tcPr>
            <w:tcW w:w="3250" w:type="dxa"/>
            <w:vMerge w:val="continue"/>
          </w:tcPr>
          <w:p w14:paraId="586F98C0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Merge w:val="continue"/>
          </w:tcPr>
          <w:p w14:paraId="525BFCCB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Merge w:val="continue"/>
          </w:tcPr>
          <w:p w14:paraId="03F124E1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1069A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0" w:type="dxa"/>
            <w:vMerge w:val="continue"/>
            <w:vAlign w:val="center"/>
          </w:tcPr>
          <w:p w14:paraId="52E1D0D6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0" w:type="dxa"/>
          </w:tcPr>
          <w:p w14:paraId="7C99D4D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i)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独立接闪杆的接地电阻、保护范围</w:t>
            </w:r>
          </w:p>
        </w:tc>
        <w:tc>
          <w:tcPr>
            <w:tcW w:w="3250" w:type="dxa"/>
            <w:vMerge w:val="continue"/>
          </w:tcPr>
          <w:p w14:paraId="04AB3229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Merge w:val="continue"/>
          </w:tcPr>
          <w:p w14:paraId="280DA298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Merge w:val="continue"/>
          </w:tcPr>
          <w:p w14:paraId="46350F3E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07D89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360" w:type="dxa"/>
            <w:vMerge w:val="continue"/>
            <w:vAlign w:val="center"/>
          </w:tcPr>
          <w:p w14:paraId="2AF73E74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0" w:type="dxa"/>
          </w:tcPr>
          <w:p w14:paraId="00356F8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j)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独立接闪杆接地装置地下部分与其他金属体之间的安全距离</w:t>
            </w:r>
          </w:p>
        </w:tc>
        <w:tc>
          <w:tcPr>
            <w:tcW w:w="3250" w:type="dxa"/>
            <w:vMerge w:val="continue"/>
          </w:tcPr>
          <w:p w14:paraId="0C329EDE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Merge w:val="continue"/>
          </w:tcPr>
          <w:p w14:paraId="62622F73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Merge w:val="continue"/>
          </w:tcPr>
          <w:p w14:paraId="309CDEF6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4F245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vMerge w:val="restart"/>
            <w:vAlign w:val="center"/>
          </w:tcPr>
          <w:p w14:paraId="553896B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ascii="黑体" w:hAnsi="宋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光伏发电站建（构）筑物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（包括控制室、检修、维护、生活等辅助设施）</w:t>
            </w:r>
          </w:p>
        </w:tc>
        <w:tc>
          <w:tcPr>
            <w:tcW w:w="2260" w:type="dxa"/>
          </w:tcPr>
          <w:p w14:paraId="72139A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a)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内部防雷装置性能</w:t>
            </w:r>
          </w:p>
          <w:p w14:paraId="2C556660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3250" w:type="dxa"/>
            <w:vMerge w:val="restart"/>
            <w:vAlign w:val="center"/>
          </w:tcPr>
          <w:p w14:paraId="49B38CE4"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电站建（构）筑物：接闪带×11；主变进线柜×3；开关柜×39；PT柜×6；站用变开关柜×2；</w:t>
            </w:r>
            <w:r>
              <w:rPr>
                <w:rFonts w:hint="eastAsia"/>
              </w:rPr>
              <w:t>智能辅助控制系统柜</w:t>
            </w:r>
            <w:r>
              <w:rPr>
                <w:rFonts w:hint="eastAsia"/>
                <w:lang w:val="en-US" w:eastAsia="zh-CN"/>
              </w:rPr>
              <w:t>;</w:t>
            </w:r>
            <w:r>
              <w:rPr>
                <w:rFonts w:hint="eastAsia"/>
              </w:rPr>
              <w:t>AVC控制系统主柜</w:t>
            </w:r>
            <w:r>
              <w:rPr>
                <w:rFonts w:hint="eastAsia"/>
                <w:lang w:val="en-US" w:eastAsia="zh-CN"/>
              </w:rPr>
              <w:t>;</w:t>
            </w:r>
            <w:r>
              <w:rPr>
                <w:rFonts w:hint="eastAsia"/>
              </w:rPr>
              <w:t>二次安防设备柜</w:t>
            </w:r>
            <w:r>
              <w:rPr>
                <w:rFonts w:hint="eastAsia"/>
                <w:lang w:val="en-US" w:eastAsia="zh-CN"/>
              </w:rPr>
              <w:t>;</w:t>
            </w:r>
            <w:r>
              <w:rPr>
                <w:rFonts w:hint="eastAsia"/>
              </w:rPr>
              <w:t>省调调度数据网设备柜</w:t>
            </w:r>
            <w:r>
              <w:rPr>
                <w:rFonts w:hint="eastAsia"/>
                <w:lang w:val="en-US" w:eastAsia="zh-CN"/>
              </w:rPr>
              <w:t>;</w:t>
            </w:r>
            <w:r>
              <w:rPr>
                <w:rFonts w:hint="eastAsia"/>
              </w:rPr>
              <w:t>地调调度数据网设备柜</w:t>
            </w:r>
            <w:r>
              <w:rPr>
                <w:rFonts w:hint="eastAsia"/>
                <w:lang w:val="en-US" w:eastAsia="zh-CN"/>
              </w:rPr>
              <w:t>;</w:t>
            </w:r>
            <w:r>
              <w:rPr>
                <w:rFonts w:hint="eastAsia"/>
              </w:rPr>
              <w:t>保护信息子站系统柜</w:t>
            </w:r>
            <w:r>
              <w:rPr>
                <w:rFonts w:hint="eastAsia"/>
                <w:lang w:val="en-US" w:eastAsia="zh-CN"/>
              </w:rPr>
              <w:t>;</w:t>
            </w:r>
            <w:r>
              <w:rPr>
                <w:rFonts w:hint="eastAsia"/>
              </w:rPr>
              <w:t>同步时钟对时柜</w:t>
            </w:r>
            <w:r>
              <w:rPr>
                <w:rFonts w:hint="eastAsia"/>
                <w:lang w:val="en-US" w:eastAsia="zh-CN"/>
              </w:rPr>
              <w:t>;</w:t>
            </w:r>
            <w:r>
              <w:rPr>
                <w:rFonts w:hint="eastAsia"/>
              </w:rPr>
              <w:t>站控层公用测控柜</w:t>
            </w:r>
            <w:r>
              <w:rPr>
                <w:rFonts w:hint="eastAsia"/>
                <w:lang w:val="en-US" w:eastAsia="zh-CN"/>
              </w:rPr>
              <w:t>;</w:t>
            </w:r>
            <w:r>
              <w:rPr>
                <w:rFonts w:hint="eastAsia"/>
              </w:rPr>
              <w:t>站控层交换机柜（A/B网）</w:t>
            </w:r>
            <w:r>
              <w:rPr>
                <w:rFonts w:hint="eastAsia"/>
                <w:lang w:val="en-US" w:eastAsia="zh-CN"/>
              </w:rPr>
              <w:t>;</w:t>
            </w:r>
            <w:r>
              <w:rPr>
                <w:rFonts w:hint="eastAsia"/>
              </w:rPr>
              <w:t>III/IV区数据通信网关机柜</w:t>
            </w:r>
            <w:r>
              <w:rPr>
                <w:rFonts w:hint="eastAsia"/>
                <w:lang w:val="en-US" w:eastAsia="zh-CN"/>
              </w:rPr>
              <w:t>;</w:t>
            </w:r>
            <w:r>
              <w:rPr>
                <w:rFonts w:hint="eastAsia"/>
              </w:rPr>
              <w:t>II区数据通信网关机柜</w:t>
            </w:r>
            <w:r>
              <w:rPr>
                <w:rFonts w:hint="eastAsia"/>
                <w:lang w:val="en-US" w:eastAsia="zh-CN"/>
              </w:rPr>
              <w:t>;</w:t>
            </w:r>
            <w:r>
              <w:rPr>
                <w:rFonts w:hint="eastAsia"/>
              </w:rPr>
              <w:t>I区数据通信网关机柜</w:t>
            </w:r>
            <w:r>
              <w:rPr>
                <w:rFonts w:hint="eastAsia"/>
                <w:lang w:val="en-US" w:eastAsia="zh-CN"/>
              </w:rPr>
              <w:t>;</w:t>
            </w:r>
          </w:p>
          <w:p w14:paraId="13B02F5F">
            <w:pPr>
              <w:rPr>
                <w:rFonts w:hint="default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ODF光纤配线柜;新能源全景监控环网通讯柜;2#通信电源柜;2#通信电源馈线柜;1#通信电源馈线柜;1#通信电源柜;三级网光传输设备柜;四级网光传输设备柜;程控调度交换设备柜;ODF光纤配线柜;DDF数字配线柜;VDF音频配线柜;330kV线路保护通信接口柜B;330kV线路保;通信接口柜A;稳控通信接口装置柜B;稳控通信接口装置柜A;直流分屏柜#1;直流分屏柜#2;UPS交流不间断电源柜A套;UPS交流不间断电源柜B套;交流分屏柜#1;交流分屏柜#2;新能源全景紧急态监控系统柜;3#主变保护C柜;3#主变保护B柜;3#主变保护A柜;3#主变测控柜;2#主变保护C柜;2#主变保护B柜;2#主变保护A柜;2#主变测控柜;1#主变保护C柜;1#主变保护B柜;1#主变保护A柜;1#主变测控柜;3#主变故障录波柜;1#、2#主变故障录波柜;2#、3#主变电度表柜;1#主变电度表柜;330kV二次室公用测控柜;330kV间隔层交换机柜;变压器在线监测控制柜;稳定控制系统主机A柜;稳定控制系统主机B柜;PMU同步相量测量柜;电能质量在线监测柜;电能量采集终端柜;330kV线路电度表柜;330kV故障录波柜;330kV母线保护A柜;330kV母线保护B柜;330kV线路及母线测控柜;330kV线路保护A柜;330kV线路保护B柜;3#直流充电柜;1#直流充电柜;I段直流馈线柜#1;I段直流馈线柜#2;直流联络柜;II段直流馈线柜#1;II段直流馈线柜#2;2#直流充电柜;事故照明电源柜;II段交流馈线柜#2;II段交流馈线柜#1;2#交流进线柜;1#交流进线柜;I段交流馈线柜#2;I段交流馈线柜#1;35kV公用测控柜#1;35kV间隔层交换机柜#1;35kV相量测量采集柜#1;35kV故障录波柜#1;35kV  A母线保护柜;35kV  B母线保护柜;35kV稳控系统从机A柜#1;35kV稳控系统从机B柜#1;35kV公用测控柜#2;35kV间隔层交换机柜#2;35kV相量测量采集柜#2;35kV故障录波柜#2;35kV  C母线保护柜;35kV  D母线保护柜;35kV稳控系统从机A柜#2;35kV稳控系统从机B柜#2;有功控制保护柜;新能源快速调频控制柜;通信网关机柜;35kV公用测控柜#2;35kV间隔层交换机柜#2;35kV相量测量采集柜#2;35kV故障录波柜#2;35kV  F母线保护柜;35kV  G母线保护柜;35kV稳控系统从机A柜#2;35kV稳控系统从机B柜#2;有功控制柜;协调控制柜;一次调频控制柜;新能源智能有功控制屏。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消防泵控制柜×2；稳压泵控制柜×1；火灾报警控制器×1；应急照明控制器×1；</w:t>
            </w:r>
          </w:p>
        </w:tc>
        <w:tc>
          <w:tcPr>
            <w:tcW w:w="1180" w:type="dxa"/>
            <w:vMerge w:val="restart"/>
            <w:vAlign w:val="center"/>
          </w:tcPr>
          <w:p w14:paraId="1D71DC5C">
            <w:pPr>
              <w:jc w:val="center"/>
              <w:rPr>
                <w:rFonts w:hint="default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3项，点位270</w:t>
            </w:r>
          </w:p>
        </w:tc>
        <w:tc>
          <w:tcPr>
            <w:tcW w:w="1625" w:type="dxa"/>
            <w:vMerge w:val="restart"/>
            <w:vAlign w:val="center"/>
          </w:tcPr>
          <w:p w14:paraId="6078A7B5">
            <w:pPr>
              <w:jc w:val="center"/>
              <w:rPr>
                <w:rFonts w:hint="default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33021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vMerge w:val="continue"/>
          </w:tcPr>
          <w:p w14:paraId="03E1E495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260" w:type="dxa"/>
          </w:tcPr>
          <w:p w14:paraId="21BF69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b)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外部防雷装置性能</w:t>
            </w:r>
          </w:p>
          <w:p w14:paraId="23885530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3250" w:type="dxa"/>
            <w:vMerge w:val="continue"/>
          </w:tcPr>
          <w:p w14:paraId="5379F4B9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Merge w:val="continue"/>
            <w:vAlign w:val="center"/>
          </w:tcPr>
          <w:p w14:paraId="5A4C957D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Merge w:val="continue"/>
          </w:tcPr>
          <w:p w14:paraId="47D3C749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1B772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vMerge w:val="continue"/>
          </w:tcPr>
          <w:p w14:paraId="79ED4E02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260" w:type="dxa"/>
          </w:tcPr>
          <w:p w14:paraId="7673B2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c)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金属网围栏接地情况</w:t>
            </w:r>
          </w:p>
          <w:p w14:paraId="14FAF2BA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3250" w:type="dxa"/>
            <w:vMerge w:val="continue"/>
          </w:tcPr>
          <w:p w14:paraId="7AEE1646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Merge w:val="continue"/>
            <w:vAlign w:val="center"/>
          </w:tcPr>
          <w:p w14:paraId="2A5F6A74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Merge w:val="continue"/>
          </w:tcPr>
          <w:p w14:paraId="53631EDF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0ECE9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vAlign w:val="center"/>
          </w:tcPr>
          <w:p w14:paraId="6CA8CC0F">
            <w:pPr>
              <w:jc w:val="center"/>
              <w:rPr>
                <w:rFonts w:hint="default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线路杆塔</w:t>
            </w:r>
          </w:p>
        </w:tc>
        <w:tc>
          <w:tcPr>
            <w:tcW w:w="2260" w:type="dxa"/>
            <w:vAlign w:val="center"/>
          </w:tcPr>
          <w:p w14:paraId="716113F5"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a)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接地阻抗</w:t>
            </w:r>
          </w:p>
          <w:p w14:paraId="69E1A676"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b) 土壤电阻率</w:t>
            </w:r>
          </w:p>
          <w:p w14:paraId="02BCC091">
            <w:pPr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c) 外观检查</w:t>
            </w:r>
          </w:p>
        </w:tc>
        <w:tc>
          <w:tcPr>
            <w:tcW w:w="3250" w:type="dxa"/>
            <w:vAlign w:val="center"/>
          </w:tcPr>
          <w:p w14:paraId="63CEB107">
            <w:pPr>
              <w:jc w:val="center"/>
              <w:rPr>
                <w:rFonts w:hint="default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330KV杆塔：144基</w:t>
            </w:r>
          </w:p>
        </w:tc>
        <w:tc>
          <w:tcPr>
            <w:tcW w:w="1180" w:type="dxa"/>
            <w:vAlign w:val="center"/>
          </w:tcPr>
          <w:p w14:paraId="0816DE66">
            <w:pPr>
              <w:jc w:val="center"/>
              <w:rPr>
                <w:rFonts w:hint="default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3项，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点位576</w:t>
            </w:r>
          </w:p>
        </w:tc>
        <w:tc>
          <w:tcPr>
            <w:tcW w:w="1625" w:type="dxa"/>
            <w:vAlign w:val="center"/>
          </w:tcPr>
          <w:p w14:paraId="1F9560A3">
            <w:pPr>
              <w:jc w:val="center"/>
              <w:rPr>
                <w:rFonts w:hint="default" w:ascii="黑体" w:hAnsi="黑体" w:eastAsia="黑体" w:cs="黑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6BA72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70" w:type="dxa"/>
            <w:gridSpan w:val="3"/>
            <w:shd w:val="clear" w:color="auto" w:fill="auto"/>
            <w:vAlign w:val="center"/>
          </w:tcPr>
          <w:p w14:paraId="45E9D661">
            <w:pPr>
              <w:jc w:val="center"/>
              <w:rPr>
                <w:rFonts w:hint="eastAsia" w:ascii="黑体" w:hAnsi="黑体" w:eastAsia="黑体" w:cs="黑体"/>
                <w:b/>
                <w:bCs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合计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4CF1FCD7">
            <w:pPr>
              <w:jc w:val="center"/>
              <w:rPr>
                <w:rFonts w:hint="default" w:ascii="黑体" w:hAnsi="黑体" w:eastAsia="黑体" w:cs="黑体"/>
                <w:b/>
                <w:bCs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23项，点位995</w:t>
            </w:r>
            <w:bookmarkStart w:id="0" w:name="_GoBack"/>
            <w:bookmarkEnd w:id="0"/>
          </w:p>
        </w:tc>
        <w:tc>
          <w:tcPr>
            <w:tcW w:w="1625" w:type="dxa"/>
            <w:shd w:val="clear" w:color="auto" w:fill="auto"/>
            <w:vAlign w:val="center"/>
          </w:tcPr>
          <w:p w14:paraId="6A22E421">
            <w:pPr>
              <w:jc w:val="center"/>
              <w:rPr>
                <w:rFonts w:hint="default" w:ascii="黑体" w:hAnsi="黑体" w:eastAsia="黑体" w:cs="黑体"/>
                <w:b/>
                <w:bCs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</w:p>
        </w:tc>
      </w:tr>
    </w:tbl>
    <w:p w14:paraId="232D54D0">
      <w:pPr>
        <w:jc w:val="center"/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5NWZkZDcyZmQzYjlmOGI2MmE4MGMwYzFiODYzMDgifQ=="/>
  </w:docVars>
  <w:rsids>
    <w:rsidRoot w:val="1E684B1B"/>
    <w:rsid w:val="0F5E2B31"/>
    <w:rsid w:val="1E684B1B"/>
    <w:rsid w:val="22034BB2"/>
    <w:rsid w:val="2D412A32"/>
    <w:rsid w:val="3106021B"/>
    <w:rsid w:val="31131296"/>
    <w:rsid w:val="33F75E93"/>
    <w:rsid w:val="36631C6B"/>
    <w:rsid w:val="3BB014AF"/>
    <w:rsid w:val="3E7F160D"/>
    <w:rsid w:val="46035E4B"/>
    <w:rsid w:val="48CA7928"/>
    <w:rsid w:val="5EB13BA4"/>
    <w:rsid w:val="602C2FA6"/>
    <w:rsid w:val="69594684"/>
    <w:rsid w:val="69717C20"/>
    <w:rsid w:val="6B6555BF"/>
    <w:rsid w:val="78175E36"/>
    <w:rsid w:val="7BD37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828</Words>
  <Characters>893</Characters>
  <Lines>0</Lines>
  <Paragraphs>0</Paragraphs>
  <TotalTime>4</TotalTime>
  <ScaleCrop>false</ScaleCrop>
  <LinksUpToDate>false</LinksUpToDate>
  <CharactersWithSpaces>915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2025-07-23T01:23:00Z</dcterms:created>
  <dc:creator>一丢丢</dc:creator>
  <cp:lastModifiedBy>半回忆</cp:lastModifiedBy>
  <cp:lastPrinted>2025-07-31T08:15:00Z</cp:lastPrinted>
  <dcterms:modified xsi:type="dcterms:W3CDTF">2025-08-13T01:44:54Z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2A4F652E234B483CAEAEB3489C49A062_13</vt:lpwstr>
  </property>
  <property fmtid="{D5CDD505-2E9C-101B-9397-08002B2CF9AE}" pid="4" name="KSOTemplateDocerSaveRecord">
    <vt:lpwstr>eyJoZGlkIjoiZmM2M2ZhN2RkZGM4ZGYxZjFkMGU1MjllMTQzNDU5OWQiLCJ1c2VySWQiOiIxMDEwNzM5ODM3In0=</vt:lpwstr>
  </property>
</Properties>
</file>